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D71" w:rsidRDefault="00AD75F0" w:rsidP="00D341F9">
      <w:pPr>
        <w:spacing w:after="100" w:afterAutospacing="1"/>
        <w:contextualSpacing/>
        <w:rPr>
          <w:b/>
        </w:rPr>
      </w:pPr>
      <w:r>
        <w:rPr>
          <w:b/>
        </w:rPr>
        <w:t xml:space="preserve">A Report on the </w:t>
      </w:r>
      <w:r w:rsidR="00ED2D71" w:rsidRPr="00D341F9">
        <w:rPr>
          <w:b/>
        </w:rPr>
        <w:t>Charleston Pre-Conference “Weighing the Evidence</w:t>
      </w:r>
      <w:r>
        <w:rPr>
          <w:b/>
        </w:rPr>
        <w:t>:  Evaluating Major Research Databases.</w:t>
      </w:r>
      <w:r w:rsidR="00ED2D71" w:rsidRPr="00D341F9">
        <w:rPr>
          <w:b/>
        </w:rPr>
        <w:t xml:space="preserve">” </w:t>
      </w:r>
    </w:p>
    <w:p w:rsidR="00ED2D71" w:rsidRDefault="00ED2D71" w:rsidP="00D341F9">
      <w:pPr>
        <w:spacing w:after="100" w:afterAutospacing="1"/>
        <w:contextualSpacing/>
      </w:pPr>
    </w:p>
    <w:p w:rsidR="00A23EE1" w:rsidRDefault="00A23EE1" w:rsidP="00A23EE1">
      <w:pPr>
        <w:spacing w:after="100" w:afterAutospacing="1"/>
        <w:contextualSpacing/>
      </w:pPr>
      <w:r>
        <w:t xml:space="preserve">The licensing of e-book and e-journal databases dominates library world discussions today.  </w:t>
      </w:r>
      <w:r w:rsidR="00ED2D71">
        <w:t>Th</w:t>
      </w:r>
      <w:r>
        <w:t>is year’s</w:t>
      </w:r>
      <w:r w:rsidR="00ED2D71">
        <w:t xml:space="preserve"> </w:t>
      </w:r>
      <w:r>
        <w:t xml:space="preserve">CRL </w:t>
      </w:r>
      <w:r w:rsidR="00ED2D71">
        <w:t xml:space="preserve">preconference </w:t>
      </w:r>
      <w:r>
        <w:t xml:space="preserve">at Charleston trained the attention of a number of collection development and licensing experts on a different question:  </w:t>
      </w:r>
      <w:r w:rsidR="00ED2D71">
        <w:t>how libraries and consortia evaluate major research databases</w:t>
      </w:r>
      <w:r w:rsidR="00B33C60">
        <w:t xml:space="preserve"> </w:t>
      </w:r>
      <w:r w:rsidR="00AD75F0">
        <w:t xml:space="preserve">in the humanities and social sciences </w:t>
      </w:r>
      <w:r>
        <w:t>for acquisition.</w:t>
      </w:r>
      <w:r w:rsidR="00ED2D71">
        <w:t xml:space="preserve">  </w:t>
      </w:r>
      <w:r w:rsidRPr="00A23EE1">
        <w:t>Research libraries invest millions each year on purchas</w:t>
      </w:r>
      <w:r>
        <w:t xml:space="preserve">ing </w:t>
      </w:r>
      <w:r w:rsidRPr="00A23EE1">
        <w:t>and subscri</w:t>
      </w:r>
      <w:r>
        <w:t>bing</w:t>
      </w:r>
      <w:r w:rsidRPr="00A23EE1">
        <w:t xml:space="preserve"> to large digital collections of news, law, and government publications and records; and primary opinion, financial, and historical data. </w:t>
      </w:r>
      <w:r w:rsidR="00895FEA">
        <w:t xml:space="preserve">The </w:t>
      </w:r>
      <w:r w:rsidR="00AD75F0">
        <w:t xml:space="preserve">goal of the </w:t>
      </w:r>
      <w:r w:rsidR="00895FEA">
        <w:t xml:space="preserve">CRL pre-conference was to illuminate current practice and to ascertain what can be done to support decision-making on these investments.  </w:t>
      </w:r>
    </w:p>
    <w:p w:rsidR="00895FEA" w:rsidRPr="00A23EE1" w:rsidRDefault="00895FEA" w:rsidP="00A23EE1">
      <w:pPr>
        <w:spacing w:after="100" w:afterAutospacing="1"/>
        <w:contextualSpacing/>
      </w:pPr>
    </w:p>
    <w:p w:rsidR="00895FEA" w:rsidRDefault="00AD75F0" w:rsidP="00895FEA">
      <w:pPr>
        <w:spacing w:after="100" w:afterAutospacing="1"/>
        <w:contextualSpacing/>
      </w:pPr>
      <w:r>
        <w:rPr>
          <w:bCs/>
        </w:rPr>
        <w:t xml:space="preserve">Presenters </w:t>
      </w:r>
      <w:r w:rsidR="00895FEA" w:rsidRPr="00895FEA">
        <w:rPr>
          <w:bCs/>
        </w:rPr>
        <w:t>at the pre-conference were: Tony Horava</w:t>
      </w:r>
      <w:r w:rsidR="00895FEA" w:rsidRPr="00895FEA">
        <w:t xml:space="preserve">, Associate University Librarian (Collections), University of Ottawa Library, and CRKN (Canadian Research Knowledge Network) Negotiations Resource Team member; </w:t>
      </w:r>
      <w:r w:rsidR="00895FEA" w:rsidRPr="00895FEA">
        <w:rPr>
          <w:bCs/>
        </w:rPr>
        <w:t>George Machovec</w:t>
      </w:r>
      <w:r w:rsidR="00895FEA" w:rsidRPr="00895FEA">
        <w:t>, Associate Director</w:t>
      </w:r>
      <w:r w:rsidR="00895FEA">
        <w:t xml:space="preserve"> of the </w:t>
      </w:r>
      <w:r w:rsidR="00895FEA" w:rsidRPr="00895FEA">
        <w:t>Colorado Alliance of Research Libraries, and Managing Editor</w:t>
      </w:r>
      <w:r w:rsidR="00895FEA">
        <w:t xml:space="preserve"> of </w:t>
      </w:r>
      <w:r w:rsidR="00895FEA" w:rsidRPr="00895FEA">
        <w:rPr>
          <w:i/>
          <w:iCs/>
        </w:rPr>
        <w:t xml:space="preserve">The Charleston Advisor; </w:t>
      </w:r>
      <w:r w:rsidR="00895FEA" w:rsidRPr="00895FEA">
        <w:rPr>
          <w:bCs/>
        </w:rPr>
        <w:t>James R. Mouw</w:t>
      </w:r>
      <w:r w:rsidR="00895FEA" w:rsidRPr="00895FEA">
        <w:t>, Associate Director, Technical &amp; Electronic Services</w:t>
      </w:r>
      <w:r w:rsidR="00895FEA">
        <w:t xml:space="preserve"> at the </w:t>
      </w:r>
      <w:r w:rsidR="00895FEA" w:rsidRPr="00895FEA">
        <w:t xml:space="preserve">University of Chicago, and Editor-in-Chief, </w:t>
      </w:r>
      <w:r w:rsidR="00895FEA" w:rsidRPr="00895FEA">
        <w:rPr>
          <w:i/>
          <w:iCs/>
        </w:rPr>
        <w:t>Library Collections, Acquisitions, &amp; Technical Services</w:t>
      </w:r>
      <w:r w:rsidR="00895FEA" w:rsidRPr="00895FEA">
        <w:t xml:space="preserve">; </w:t>
      </w:r>
      <w:r w:rsidR="00895FEA">
        <w:t xml:space="preserve">and </w:t>
      </w:r>
      <w:r w:rsidR="00895FEA" w:rsidRPr="00895FEA">
        <w:rPr>
          <w:bCs/>
        </w:rPr>
        <w:t>Ann Okerson</w:t>
      </w:r>
      <w:r w:rsidR="00895FEA" w:rsidRPr="00895FEA">
        <w:t>, Senior Advisor on Electronic Strategies</w:t>
      </w:r>
      <w:r w:rsidR="00895FEA">
        <w:t xml:space="preserve"> at the </w:t>
      </w:r>
      <w:r w:rsidR="00895FEA" w:rsidRPr="00895FEA">
        <w:t>Center for Research Libraries.</w:t>
      </w:r>
      <w:r>
        <w:t xml:space="preserve"> </w:t>
      </w:r>
    </w:p>
    <w:p w:rsidR="00AD75F0" w:rsidRPr="00895FEA" w:rsidRDefault="00AD75F0" w:rsidP="00895FEA">
      <w:pPr>
        <w:spacing w:after="100" w:afterAutospacing="1"/>
        <w:contextualSpacing/>
      </w:pPr>
    </w:p>
    <w:p w:rsidR="00CB2F48" w:rsidRDefault="00CB2F48" w:rsidP="00D341F9">
      <w:pPr>
        <w:spacing w:after="100" w:afterAutospacing="1"/>
        <w:contextualSpacing/>
      </w:pPr>
      <w:r>
        <w:t xml:space="preserve">Attendees included collection development people from over fifty research and academic libraries and several consortia, and representatives of several academic publishers.   PowerPoint presentations from the preconference are available on the CRL website at:   </w:t>
      </w:r>
      <w:hyperlink r:id="rId6" w:history="1">
        <w:r w:rsidRPr="008B6230">
          <w:rPr>
            <w:rStyle w:val="Hyperlink"/>
          </w:rPr>
          <w:t>http://www.crl.edu/events/7320</w:t>
        </w:r>
      </w:hyperlink>
      <w:r>
        <w:t xml:space="preserve">.  </w:t>
      </w:r>
    </w:p>
    <w:p w:rsidR="00CB2F48" w:rsidRDefault="00CB2F48" w:rsidP="00D341F9">
      <w:pPr>
        <w:spacing w:after="100" w:afterAutospacing="1"/>
        <w:contextualSpacing/>
      </w:pPr>
    </w:p>
    <w:p w:rsidR="00ED2D71" w:rsidRDefault="00CB2F48" w:rsidP="00D341F9">
      <w:pPr>
        <w:spacing w:after="100" w:afterAutospacing="1"/>
        <w:contextualSpacing/>
      </w:pPr>
      <w:r>
        <w:t xml:space="preserve">The presentations and discussion at the preconference revealed a number of </w:t>
      </w:r>
      <w:r w:rsidR="00ED2D71">
        <w:t>important points about how these decisions</w:t>
      </w:r>
      <w:r w:rsidR="003420B5">
        <w:t xml:space="preserve"> </w:t>
      </w:r>
      <w:r w:rsidR="00ED2D71">
        <w:t xml:space="preserve">are </w:t>
      </w:r>
      <w:r>
        <w:t>currently made</w:t>
      </w:r>
      <w:r w:rsidR="00ED2D71">
        <w:t xml:space="preserve">:  </w:t>
      </w:r>
    </w:p>
    <w:p w:rsidR="00ED2D71" w:rsidRDefault="00835207" w:rsidP="00773623">
      <w:pPr>
        <w:pStyle w:val="ListParagraph"/>
        <w:numPr>
          <w:ilvl w:val="0"/>
          <w:numId w:val="16"/>
        </w:numPr>
        <w:spacing w:after="100" w:afterAutospacing="1"/>
      </w:pPr>
      <w:r>
        <w:t>There is no single, uniform approach to database evaluations. “</w:t>
      </w:r>
      <w:r w:rsidR="00B33C60">
        <w:t>Best guesses</w:t>
      </w:r>
      <w:r>
        <w:t>”</w:t>
      </w:r>
      <w:r w:rsidR="00B33C60">
        <w:t xml:space="preserve"> about local </w:t>
      </w:r>
      <w:r>
        <w:t xml:space="preserve">user </w:t>
      </w:r>
      <w:r w:rsidR="00B33C60">
        <w:t xml:space="preserve">needs and </w:t>
      </w:r>
      <w:r>
        <w:t xml:space="preserve">potential user </w:t>
      </w:r>
      <w:r w:rsidR="00B33C60">
        <w:t xml:space="preserve">uptake are the norm. </w:t>
      </w:r>
    </w:p>
    <w:p w:rsidR="00ED2D71" w:rsidRDefault="00CB1149" w:rsidP="00773623">
      <w:pPr>
        <w:pStyle w:val="ListParagraph"/>
        <w:numPr>
          <w:ilvl w:val="0"/>
          <w:numId w:val="16"/>
        </w:numPr>
        <w:spacing w:after="100" w:afterAutospacing="1"/>
      </w:pPr>
      <w:r>
        <w:t xml:space="preserve">The interests of </w:t>
      </w:r>
      <w:r w:rsidR="00B9512B" w:rsidDel="00B33C60">
        <w:t>faculty</w:t>
      </w:r>
      <w:r w:rsidR="00ED2D71">
        <w:t xml:space="preserve"> member</w:t>
      </w:r>
      <w:r w:rsidR="00B33C60">
        <w:t xml:space="preserve">s and other </w:t>
      </w:r>
      <w:r>
        <w:t>key users</w:t>
      </w:r>
      <w:r w:rsidR="00ED2D71">
        <w:t xml:space="preserve"> </w:t>
      </w:r>
      <w:r w:rsidR="00B33C60">
        <w:t>are the</w:t>
      </w:r>
      <w:r w:rsidR="00ED2D71">
        <w:t xml:space="preserve"> primary driver</w:t>
      </w:r>
      <w:r w:rsidR="00B33C60">
        <w:t>s</w:t>
      </w:r>
      <w:r w:rsidR="00ED2D71">
        <w:t xml:space="preserve"> of decisions</w:t>
      </w:r>
      <w:r>
        <w:t xml:space="preserve">, and will at times outweigh </w:t>
      </w:r>
      <w:r w:rsidR="00835207">
        <w:t xml:space="preserve">other considerations such as the presence of </w:t>
      </w:r>
      <w:r>
        <w:t xml:space="preserve">technical flaws and other weaknesses in a database. </w:t>
      </w:r>
    </w:p>
    <w:p w:rsidR="00ED2D71" w:rsidRDefault="00ED2D71" w:rsidP="00773623">
      <w:pPr>
        <w:pStyle w:val="ListParagraph"/>
        <w:numPr>
          <w:ilvl w:val="0"/>
          <w:numId w:val="16"/>
        </w:numPr>
        <w:spacing w:after="100" w:afterAutospacing="1"/>
      </w:pPr>
      <w:r>
        <w:lastRenderedPageBreak/>
        <w:t xml:space="preserve">Also important are:  price (subscription or purchase price), annual access fees, </w:t>
      </w:r>
      <w:r w:rsidR="00CB1149">
        <w:t xml:space="preserve">user rights and other </w:t>
      </w:r>
      <w:r>
        <w:t>license terms</w:t>
      </w:r>
      <w:r w:rsidR="00CB1149">
        <w:t xml:space="preserve">, </w:t>
      </w:r>
      <w:r>
        <w:t xml:space="preserve">vendor reputation, quality of </w:t>
      </w:r>
      <w:r w:rsidR="00CB1149">
        <w:t xml:space="preserve">the </w:t>
      </w:r>
      <w:r>
        <w:t xml:space="preserve">interface, timing of </w:t>
      </w:r>
      <w:r w:rsidR="00CB1149">
        <w:t xml:space="preserve">the vendor’s </w:t>
      </w:r>
      <w:r>
        <w:t xml:space="preserve">offer (e.g., </w:t>
      </w:r>
      <w:r w:rsidR="00CB1149">
        <w:t>in relation to the availability of end-of-</w:t>
      </w:r>
      <w:r>
        <w:t xml:space="preserve">year money) </w:t>
      </w:r>
    </w:p>
    <w:p w:rsidR="00ED2D71" w:rsidRDefault="007928D8" w:rsidP="00773623">
      <w:pPr>
        <w:pStyle w:val="ListParagraph"/>
        <w:numPr>
          <w:ilvl w:val="0"/>
          <w:numId w:val="16"/>
        </w:numPr>
        <w:spacing w:after="100" w:afterAutospacing="1"/>
      </w:pPr>
      <w:r>
        <w:t>There are also c</w:t>
      </w:r>
      <w:r w:rsidR="00ED2D71">
        <w:t xml:space="preserve">omplex metrics </w:t>
      </w:r>
      <w:r>
        <w:t xml:space="preserve">like the set of criteria outlined </w:t>
      </w:r>
      <w:r w:rsidR="00ED2D71">
        <w:t xml:space="preserve">by </w:t>
      </w:r>
      <w:r>
        <w:t xml:space="preserve">presenter </w:t>
      </w:r>
      <w:r w:rsidR="00ED2D71">
        <w:t>Tony Horava</w:t>
      </w:r>
      <w:r>
        <w:t>,</w:t>
      </w:r>
      <w:r w:rsidR="00ED2D71">
        <w:t xml:space="preserve">  </w:t>
      </w:r>
      <w:r>
        <w:t>based on</w:t>
      </w:r>
      <w:r w:rsidR="00ED2D71">
        <w:t xml:space="preserve"> his work on the CRKN Negotiations Resource Team</w:t>
      </w:r>
      <w:r>
        <w:t xml:space="preserve">, which apply </w:t>
      </w:r>
      <w:r w:rsidR="00ED2D71">
        <w:t>“intellectual</w:t>
      </w:r>
      <w:r>
        <w:t>,”</w:t>
      </w:r>
      <w:r w:rsidR="00ED2D71">
        <w:t xml:space="preserve"> “structural support,” and “business case” </w:t>
      </w:r>
      <w:r>
        <w:t>considerations to evaluation of a product</w:t>
      </w:r>
      <w:r w:rsidR="00ED2D71">
        <w:t xml:space="preserve">.   </w:t>
      </w:r>
    </w:p>
    <w:p w:rsidR="00ED2D71" w:rsidRDefault="007D6959" w:rsidP="00773623">
      <w:pPr>
        <w:pStyle w:val="ListParagraph"/>
        <w:numPr>
          <w:ilvl w:val="0"/>
          <w:numId w:val="16"/>
        </w:numPr>
        <w:spacing w:after="100" w:afterAutospacing="1"/>
      </w:pPr>
      <w:r>
        <w:t>Often</w:t>
      </w:r>
      <w:r w:rsidR="00ED2D71">
        <w:t xml:space="preserve"> different factors can come into play for </w:t>
      </w:r>
      <w:r w:rsidR="007928D8">
        <w:t xml:space="preserve">subject specialists and </w:t>
      </w:r>
      <w:r w:rsidR="00ED2D71">
        <w:t xml:space="preserve">selectors, individual institutions, and consortia. Decisions have to be made at </w:t>
      </w:r>
      <w:r w:rsidR="00ED2D71" w:rsidRPr="00C67A40">
        <w:t>three</w:t>
      </w:r>
      <w:r w:rsidR="00ED2D71">
        <w:t xml:space="preserve"> </w:t>
      </w:r>
      <w:r w:rsidR="00C67A40">
        <w:t xml:space="preserve">different </w:t>
      </w:r>
      <w:r w:rsidR="00ED2D71">
        <w:t xml:space="preserve">levels. </w:t>
      </w:r>
    </w:p>
    <w:p w:rsidR="00ED2D71" w:rsidRDefault="00ED2D71" w:rsidP="00773623">
      <w:pPr>
        <w:pStyle w:val="ListParagraph"/>
        <w:numPr>
          <w:ilvl w:val="0"/>
          <w:numId w:val="16"/>
        </w:numPr>
        <w:spacing w:after="100" w:afterAutospacing="1"/>
      </w:pPr>
      <w:r>
        <w:t xml:space="preserve">In some cases commercial databases have content that is also available in </w:t>
      </w:r>
      <w:r w:rsidR="007928D8">
        <w:t xml:space="preserve">open access databases, </w:t>
      </w:r>
      <w:r>
        <w:t xml:space="preserve">such as </w:t>
      </w:r>
      <w:r w:rsidR="007928D8">
        <w:t xml:space="preserve">Open Library, Google Books, Chronicling America, </w:t>
      </w:r>
      <w:r>
        <w:t>HathiTrust</w:t>
      </w:r>
      <w:r w:rsidR="007928D8">
        <w:t xml:space="preserve"> Digital Library</w:t>
      </w:r>
      <w:r>
        <w:t xml:space="preserve">, </w:t>
      </w:r>
      <w:r w:rsidR="007928D8">
        <w:t xml:space="preserve">and </w:t>
      </w:r>
      <w:proofErr w:type="gramStart"/>
      <w:r>
        <w:t>others</w:t>
      </w:r>
      <w:r w:rsidR="007928D8">
        <w:t>.</w:t>
      </w:r>
      <w:proofErr w:type="gramEnd"/>
      <w:r w:rsidR="007928D8">
        <w:t xml:space="preserve">  But </w:t>
      </w:r>
      <w:r>
        <w:t>definitive comparisons are difficult to perform</w:t>
      </w:r>
      <w:r w:rsidR="007928D8">
        <w:t>, and s</w:t>
      </w:r>
      <w:r>
        <w:t>electors do not always have the time or the necessary data to perform full comparisons.</w:t>
      </w:r>
    </w:p>
    <w:p w:rsidR="00ED2D71" w:rsidRDefault="007928D8" w:rsidP="00773623">
      <w:pPr>
        <w:pStyle w:val="ListParagraph"/>
        <w:numPr>
          <w:ilvl w:val="0"/>
          <w:numId w:val="16"/>
        </w:numPr>
        <w:spacing w:after="100" w:afterAutospacing="1"/>
      </w:pPr>
      <w:r>
        <w:t>Opinions</w:t>
      </w:r>
      <w:r w:rsidR="00ED2D71">
        <w:t xml:space="preserve"> vary about the usefulness of </w:t>
      </w:r>
      <w:r>
        <w:t xml:space="preserve">database </w:t>
      </w:r>
      <w:r w:rsidR="00ED2D71">
        <w:t>t</w:t>
      </w:r>
      <w:r>
        <w:t xml:space="preserve">rials.  </w:t>
      </w:r>
      <w:r w:rsidR="00ED2D71">
        <w:t>The</w:t>
      </w:r>
      <w:r>
        <w:t xml:space="preserve">se </w:t>
      </w:r>
      <w:r w:rsidR="00ED2D71">
        <w:t xml:space="preserve">are most useful when a product is released </w:t>
      </w:r>
      <w:r>
        <w:t xml:space="preserve">by a new publisher or by a known publisher </w:t>
      </w:r>
      <w:r w:rsidR="00ED2D71">
        <w:t>on a new platform.  It is often difficult to get results or findings within the time span allowed by publishers (which is usually 30 days</w:t>
      </w:r>
      <w:r w:rsidR="007D6959">
        <w:t xml:space="preserve"> and often at the wrong time of year</w:t>
      </w:r>
      <w:r w:rsidR="00ED2D71">
        <w:t>).</w:t>
      </w:r>
      <w:r w:rsidR="00ED2D71" w:rsidRPr="009B0BF4">
        <w:t xml:space="preserve"> </w:t>
      </w:r>
    </w:p>
    <w:p w:rsidR="00ED2D71" w:rsidRDefault="00ED2D71" w:rsidP="00773623">
      <w:pPr>
        <w:pStyle w:val="ListParagraph"/>
        <w:numPr>
          <w:ilvl w:val="0"/>
          <w:numId w:val="16"/>
        </w:numPr>
        <w:spacing w:after="100" w:afterAutospacing="1"/>
      </w:pPr>
      <w:r>
        <w:t xml:space="preserve">Reports from internal reviews of individual databases </w:t>
      </w:r>
      <w:r w:rsidRPr="00502ED8">
        <w:t xml:space="preserve">are </w:t>
      </w:r>
      <w:r>
        <w:t xml:space="preserve">produced but are </w:t>
      </w:r>
      <w:r w:rsidRPr="00502ED8">
        <w:t>not normally shared</w:t>
      </w:r>
      <w:r>
        <w:t xml:space="preserve">, </w:t>
      </w:r>
      <w:r w:rsidR="002A6D89">
        <w:t xml:space="preserve">for a number of reasons.  Findings of such reviews </w:t>
      </w:r>
      <w:r w:rsidR="007928D8">
        <w:t xml:space="preserve">are often </w:t>
      </w:r>
      <w:r w:rsidR="002A6D89">
        <w:t xml:space="preserve">reported </w:t>
      </w:r>
      <w:r w:rsidR="007928D8">
        <w:t xml:space="preserve">with the intention of internal use only, or are considered to be relevant only locally.  </w:t>
      </w:r>
      <w:r w:rsidR="002A6D89">
        <w:t xml:space="preserve">The </w:t>
      </w:r>
      <w:r w:rsidR="00B9512B">
        <w:t xml:space="preserve">findings of </w:t>
      </w:r>
      <w:r>
        <w:t xml:space="preserve">a review </w:t>
      </w:r>
      <w:r w:rsidR="00B9512B">
        <w:t xml:space="preserve">undertaken </w:t>
      </w:r>
      <w:r>
        <w:t>for one library</w:t>
      </w:r>
      <w:r w:rsidR="002A6D89">
        <w:t xml:space="preserve"> or </w:t>
      </w:r>
      <w:r>
        <w:t xml:space="preserve">consortium might not be relevant to another. </w:t>
      </w:r>
    </w:p>
    <w:p w:rsidR="00ED2D71" w:rsidRDefault="007D6959" w:rsidP="00773623">
      <w:pPr>
        <w:pStyle w:val="ListParagraph"/>
        <w:numPr>
          <w:ilvl w:val="0"/>
          <w:numId w:val="16"/>
        </w:numPr>
        <w:spacing w:after="100" w:afterAutospacing="1"/>
      </w:pPr>
      <w:r>
        <w:t>Apart from usage statistics</w:t>
      </w:r>
      <w:r w:rsidR="00ED2D71">
        <w:t xml:space="preserve"> there are few metrics to evaluate ROI on a database</w:t>
      </w:r>
      <w:r w:rsidR="002A6D89">
        <w:t xml:space="preserve">.  Because such databases are often purchased outright, rather than subscribed to, there is little incentive for evaluations after the fact.  </w:t>
      </w:r>
      <w:r w:rsidR="00742791">
        <w:t xml:space="preserve">Moreover, most </w:t>
      </w:r>
      <w:r w:rsidR="00ED2D71">
        <w:t xml:space="preserve">major databases are </w:t>
      </w:r>
      <w:r>
        <w:t>“sole source” s</w:t>
      </w:r>
      <w:r w:rsidR="00ED2D71">
        <w:t>o there are few comparables.</w:t>
      </w:r>
    </w:p>
    <w:p w:rsidR="003420B5" w:rsidRDefault="00CB2F48" w:rsidP="00CB2F48">
      <w:pPr>
        <w:spacing w:after="100" w:afterAutospacing="1"/>
        <w:contextualSpacing/>
      </w:pPr>
      <w:r>
        <w:t xml:space="preserve">It was clear from the presentations </w:t>
      </w:r>
      <w:r w:rsidR="00AD75F0">
        <w:t xml:space="preserve">and the discussion that followed </w:t>
      </w:r>
      <w:r>
        <w:t xml:space="preserve">that those making </w:t>
      </w:r>
      <w:r w:rsidR="006177D3">
        <w:t xml:space="preserve">these investment </w:t>
      </w:r>
      <w:r>
        <w:t xml:space="preserve">decisions </w:t>
      </w:r>
      <w:r w:rsidR="007D6959">
        <w:t xml:space="preserve">would </w:t>
      </w:r>
      <w:r w:rsidR="00B9512B">
        <w:t>benefit</w:t>
      </w:r>
      <w:r w:rsidR="007D6959">
        <w:t xml:space="preserve"> from more information in </w:t>
      </w:r>
      <w:r w:rsidR="006177D3">
        <w:t>certain</w:t>
      </w:r>
      <w:r w:rsidR="00835207">
        <w:t xml:space="preserve"> </w:t>
      </w:r>
      <w:r w:rsidR="007D6959" w:rsidRPr="00E407F4">
        <w:t>areas:</w:t>
      </w:r>
      <w:r w:rsidR="007D6959">
        <w:t xml:space="preserve">  </w:t>
      </w:r>
      <w:r w:rsidR="00E407F4">
        <w:t xml:space="preserve"> </w:t>
      </w:r>
    </w:p>
    <w:p w:rsidR="0060769E" w:rsidRDefault="00835207" w:rsidP="00835207">
      <w:pPr>
        <w:pStyle w:val="ListParagraph"/>
        <w:numPr>
          <w:ilvl w:val="0"/>
          <w:numId w:val="15"/>
        </w:numPr>
        <w:spacing w:after="100" w:afterAutospacing="1"/>
      </w:pPr>
      <w:r>
        <w:t xml:space="preserve">Pricing:  </w:t>
      </w:r>
      <w:r w:rsidR="00742791">
        <w:t xml:space="preserve">It is not always </w:t>
      </w:r>
      <w:r w:rsidR="00E407F4">
        <w:t>evident</w:t>
      </w:r>
      <w:r w:rsidR="00742791">
        <w:t xml:space="preserve"> what </w:t>
      </w:r>
      <w:r w:rsidR="007D6959">
        <w:t xml:space="preserve">the </w:t>
      </w:r>
      <w:r w:rsidR="00742791">
        <w:t>“</w:t>
      </w:r>
      <w:r w:rsidR="007D6959">
        <w:t>list price</w:t>
      </w:r>
      <w:r w:rsidR="00742791">
        <w:t>” of a database is and how that price was arrived at.  Even less clear is</w:t>
      </w:r>
      <w:r w:rsidR="007D6959">
        <w:t xml:space="preserve"> the discount schedule</w:t>
      </w:r>
      <w:r w:rsidR="00742791">
        <w:t xml:space="preserve"> for a particular database.  </w:t>
      </w:r>
      <w:r w:rsidR="00ED2D71">
        <w:t xml:space="preserve">This information may be hard to </w:t>
      </w:r>
      <w:r w:rsidR="00742791">
        <w:t>obtain</w:t>
      </w:r>
      <w:r w:rsidR="007D6959">
        <w:t xml:space="preserve">, and even more difficult to interpret. </w:t>
      </w:r>
      <w:r w:rsidR="00E407F4">
        <w:t xml:space="preserve"> </w:t>
      </w:r>
      <w:r w:rsidR="007D6959">
        <w:t xml:space="preserve">In some </w:t>
      </w:r>
      <w:r w:rsidR="00742791">
        <w:t>instances</w:t>
      </w:r>
      <w:r w:rsidR="00ED2D71">
        <w:t xml:space="preserve"> disclosure of </w:t>
      </w:r>
      <w:r w:rsidR="00742791">
        <w:t xml:space="preserve">this information </w:t>
      </w:r>
      <w:r w:rsidR="00ED2D71">
        <w:t xml:space="preserve">may not be to </w:t>
      </w:r>
      <w:r w:rsidR="00742791">
        <w:t xml:space="preserve">a </w:t>
      </w:r>
      <w:r w:rsidR="00ED2D71">
        <w:t>librar</w:t>
      </w:r>
      <w:r w:rsidR="00742791">
        <w:t>y’s</w:t>
      </w:r>
      <w:r w:rsidR="00ED2D71">
        <w:t xml:space="preserve"> advantage, </w:t>
      </w:r>
      <w:r w:rsidR="007D6959">
        <w:t xml:space="preserve">or </w:t>
      </w:r>
      <w:r w:rsidR="00ED2D71">
        <w:t xml:space="preserve">may be prohibited by non-disclosure agreements.   </w:t>
      </w:r>
    </w:p>
    <w:p w:rsidR="00ED2D71" w:rsidRDefault="00835207" w:rsidP="00835207">
      <w:pPr>
        <w:pStyle w:val="ListParagraph"/>
        <w:numPr>
          <w:ilvl w:val="0"/>
          <w:numId w:val="15"/>
        </w:numPr>
        <w:spacing w:after="100" w:afterAutospacing="1"/>
      </w:pPr>
      <w:r>
        <w:t>P</w:t>
      </w:r>
      <w:r w:rsidR="00ED2D71">
        <w:t xml:space="preserve">ricing strategies and rationales: Consortium people know this territory well, but can this knowledge be more widely shared with libraries? With selectors?  </w:t>
      </w:r>
    </w:p>
    <w:p w:rsidR="00835207" w:rsidRDefault="00ED2D71" w:rsidP="00835207">
      <w:pPr>
        <w:pStyle w:val="ListParagraph"/>
        <w:numPr>
          <w:ilvl w:val="0"/>
          <w:numId w:val="15"/>
        </w:numPr>
        <w:spacing w:after="100" w:afterAutospacing="1"/>
      </w:pPr>
      <w:r>
        <w:t xml:space="preserve">The publishers’ pipeline:  What is in development, not just what is currently in the pipeline but also when it </w:t>
      </w:r>
      <w:r w:rsidR="007D6959">
        <w:t xml:space="preserve">and future databases are </w:t>
      </w:r>
      <w:r>
        <w:t>coming?  Publishers may be reluctant, unable to divulge this, either for competitive reasons or because permissions/access negotiations are late in coming.</w:t>
      </w:r>
    </w:p>
    <w:p w:rsidR="004837DB" w:rsidRDefault="00ED2D71" w:rsidP="00835207">
      <w:pPr>
        <w:pStyle w:val="ListParagraph"/>
        <w:numPr>
          <w:ilvl w:val="0"/>
          <w:numId w:val="15"/>
        </w:numPr>
        <w:spacing w:after="100" w:afterAutospacing="1"/>
      </w:pPr>
      <w:r>
        <w:t xml:space="preserve">Database content:  </w:t>
      </w:r>
      <w:r w:rsidR="00E30A15">
        <w:t xml:space="preserve">As </w:t>
      </w:r>
      <w:r w:rsidR="003420B5" w:rsidRPr="00835207">
        <w:t>open access sources</w:t>
      </w:r>
      <w:r w:rsidR="00835207">
        <w:t xml:space="preserve"> such as G</w:t>
      </w:r>
      <w:r w:rsidR="00E30A15">
        <w:t xml:space="preserve">oogle Books and </w:t>
      </w:r>
      <w:r w:rsidR="00C67A40">
        <w:t>Chronicling America</w:t>
      </w:r>
      <w:r w:rsidR="00E30A15">
        <w:t xml:space="preserve"> become more common,</w:t>
      </w:r>
      <w:r w:rsidR="00835207">
        <w:t xml:space="preserve"> </w:t>
      </w:r>
      <w:r>
        <w:t xml:space="preserve">and </w:t>
      </w:r>
      <w:r w:rsidR="00E30A15">
        <w:t xml:space="preserve">more news and </w:t>
      </w:r>
      <w:r>
        <w:t xml:space="preserve">government information </w:t>
      </w:r>
      <w:r w:rsidR="00E30A15">
        <w:t xml:space="preserve">become available </w:t>
      </w:r>
      <w:r>
        <w:t xml:space="preserve">online, it would be useful to </w:t>
      </w:r>
      <w:r w:rsidR="00835207">
        <w:t>determine</w:t>
      </w:r>
      <w:r>
        <w:t xml:space="preserve"> how much content </w:t>
      </w:r>
      <w:r w:rsidR="00E30A15">
        <w:t xml:space="preserve">in a </w:t>
      </w:r>
      <w:r>
        <w:t xml:space="preserve">given </w:t>
      </w:r>
      <w:r w:rsidR="00E30A15">
        <w:t xml:space="preserve">proprietary </w:t>
      </w:r>
      <w:r>
        <w:t xml:space="preserve">database </w:t>
      </w:r>
      <w:r w:rsidR="00E30A15">
        <w:t xml:space="preserve">is duplicated on the open Web.  </w:t>
      </w:r>
      <w:r w:rsidR="00201B61">
        <w:t xml:space="preserve">  </w:t>
      </w:r>
      <w:r w:rsidR="00835207">
        <w:t>D</w:t>
      </w:r>
      <w:r>
        <w:t xml:space="preserve">etailed information about the overlap </w:t>
      </w:r>
      <w:r w:rsidR="00E30A15">
        <w:t xml:space="preserve">in content </w:t>
      </w:r>
      <w:r w:rsidR="00835207">
        <w:t xml:space="preserve">between </w:t>
      </w:r>
      <w:r w:rsidR="00E30A15">
        <w:t xml:space="preserve">particular commercial </w:t>
      </w:r>
      <w:r w:rsidR="00835207">
        <w:t>database</w:t>
      </w:r>
      <w:r w:rsidR="00E30A15">
        <w:t>s</w:t>
      </w:r>
      <w:r w:rsidR="00835207">
        <w:t xml:space="preserve"> and </w:t>
      </w:r>
      <w:r>
        <w:t>microform</w:t>
      </w:r>
      <w:r w:rsidR="00835207">
        <w:t xml:space="preserve"> or </w:t>
      </w:r>
      <w:r>
        <w:t xml:space="preserve">print collections </w:t>
      </w:r>
      <w:r w:rsidR="00835207">
        <w:t xml:space="preserve">might also be helpful.  </w:t>
      </w:r>
    </w:p>
    <w:p w:rsidR="00B9512B" w:rsidRPr="003C49B9" w:rsidRDefault="00201B61" w:rsidP="00502ED8">
      <w:pPr>
        <w:pStyle w:val="ListParagraph"/>
        <w:numPr>
          <w:ilvl w:val="0"/>
          <w:numId w:val="15"/>
        </w:numPr>
        <w:spacing w:after="100" w:afterAutospacing="1"/>
        <w:rPr>
          <w:b/>
          <w:i/>
        </w:rPr>
      </w:pPr>
      <w:r>
        <w:t xml:space="preserve">Database impact:  Data and other evidence of “return on investment” in particular databases might be </w:t>
      </w:r>
      <w:r w:rsidR="003C49B9">
        <w:t>collected</w:t>
      </w:r>
      <w:r>
        <w:t xml:space="preserve"> and shared widely</w:t>
      </w:r>
      <w:r w:rsidR="00E30A15">
        <w:t xml:space="preserve">.  </w:t>
      </w:r>
      <w:r>
        <w:t xml:space="preserve">These could include anecdotal and narrative </w:t>
      </w:r>
      <w:r w:rsidR="003C49B9">
        <w:t>reports</w:t>
      </w:r>
      <w:r>
        <w:t xml:space="preserve">, </w:t>
      </w:r>
      <w:r w:rsidR="00ED2D71">
        <w:t>such as prizes (Nobel, National Book Award)</w:t>
      </w:r>
      <w:r>
        <w:t>, and the publication of “big books”</w:t>
      </w:r>
      <w:r w:rsidR="00ED2D71">
        <w:t xml:space="preserve"> </w:t>
      </w:r>
      <w:r>
        <w:t xml:space="preserve">produced using databases.  </w:t>
      </w:r>
    </w:p>
    <w:p w:rsidR="005475C6" w:rsidRDefault="006177D3" w:rsidP="00502ED8">
      <w:pPr>
        <w:spacing w:after="100" w:afterAutospacing="1"/>
        <w:contextualSpacing/>
      </w:pPr>
      <w:r>
        <w:t>The</w:t>
      </w:r>
      <w:r w:rsidR="001C6F77">
        <w:t xml:space="preserve"> </w:t>
      </w:r>
      <w:r w:rsidR="004837DB" w:rsidRPr="00E30A15">
        <w:t>session</w:t>
      </w:r>
      <w:r w:rsidR="004837DB">
        <w:t xml:space="preserve"> </w:t>
      </w:r>
      <w:r w:rsidR="001C6F77">
        <w:t xml:space="preserve">presentations and discussion </w:t>
      </w:r>
      <w:r>
        <w:t xml:space="preserve">suggested that </w:t>
      </w:r>
      <w:r w:rsidR="00127181">
        <w:t xml:space="preserve">a number of things </w:t>
      </w:r>
      <w:r>
        <w:t>might</w:t>
      </w:r>
      <w:r w:rsidR="00127181">
        <w:t xml:space="preserve"> be done to </w:t>
      </w:r>
      <w:r w:rsidR="00467360">
        <w:t xml:space="preserve">make </w:t>
      </w:r>
      <w:r w:rsidR="00ED3533">
        <w:t>investment in major research databases</w:t>
      </w:r>
      <w:r w:rsidR="00467360">
        <w:t xml:space="preserve"> more informed and effective</w:t>
      </w:r>
      <w:r w:rsidR="00ED3533">
        <w:t xml:space="preserve">.  </w:t>
      </w:r>
      <w:r w:rsidR="00127181">
        <w:t xml:space="preserve">Foremost </w:t>
      </w:r>
      <w:r w:rsidR="00BC32F6">
        <w:t xml:space="preserve">among those things is a </w:t>
      </w:r>
      <w:r w:rsidR="00127181">
        <w:t xml:space="preserve">greater </w:t>
      </w:r>
      <w:r w:rsidR="008B2027">
        <w:t xml:space="preserve">sharing </w:t>
      </w:r>
      <w:r w:rsidR="00ED2D71">
        <w:t xml:space="preserve">of expertise, </w:t>
      </w:r>
      <w:r w:rsidR="005475C6">
        <w:t>knowledge</w:t>
      </w:r>
      <w:r w:rsidR="00ED2D71">
        <w:t xml:space="preserve">, and opinions </w:t>
      </w:r>
      <w:r w:rsidR="001C6F77">
        <w:t>among</w:t>
      </w:r>
      <w:r w:rsidR="00ED2D71">
        <w:t xml:space="preserve"> </w:t>
      </w:r>
      <w:r w:rsidR="004837DB" w:rsidRPr="00E30A15">
        <w:t xml:space="preserve">libraries and </w:t>
      </w:r>
      <w:r w:rsidR="008B2027" w:rsidRPr="00E30A15">
        <w:t>consorti</w:t>
      </w:r>
      <w:r w:rsidR="004837DB" w:rsidRPr="00E30A15">
        <w:t>a</w:t>
      </w:r>
      <w:r w:rsidR="008B2027">
        <w:t xml:space="preserve"> </w:t>
      </w:r>
      <w:r w:rsidR="00ED2D71">
        <w:t xml:space="preserve">on the </w:t>
      </w:r>
      <w:r w:rsidR="008B2027">
        <w:t xml:space="preserve">contents, functionalities, </w:t>
      </w:r>
      <w:r w:rsidR="00ED3533">
        <w:t xml:space="preserve">costs and other </w:t>
      </w:r>
      <w:r w:rsidR="008B2027">
        <w:t xml:space="preserve">terms of acquisition, and uses of </w:t>
      </w:r>
      <w:r w:rsidR="00ED3533">
        <w:t xml:space="preserve">these </w:t>
      </w:r>
      <w:r w:rsidR="00ED2D71">
        <w:t>databases</w:t>
      </w:r>
      <w:r w:rsidR="008B2027">
        <w:t xml:space="preserve">.  </w:t>
      </w:r>
      <w:r w:rsidR="00E51615">
        <w:t xml:space="preserve">CRL </w:t>
      </w:r>
      <w:r w:rsidR="00127181">
        <w:t xml:space="preserve">has long facilitated this kind of sharing in connection with </w:t>
      </w:r>
      <w:r w:rsidR="00E51615">
        <w:t>building shared print and microform collections</w:t>
      </w:r>
      <w:r w:rsidR="00127181">
        <w:t xml:space="preserve"> in certain key areas</w:t>
      </w:r>
      <w:r w:rsidR="00E51615">
        <w:t>.  T</w:t>
      </w:r>
      <w:r w:rsidR="00127181">
        <w:t xml:space="preserve">oday </w:t>
      </w:r>
      <w:r w:rsidR="00BC32F6">
        <w:t xml:space="preserve">analogous </w:t>
      </w:r>
      <w:r w:rsidR="00127181">
        <w:t xml:space="preserve">support </w:t>
      </w:r>
      <w:r w:rsidR="00BC32F6">
        <w:t>should be provided around the licensing of</w:t>
      </w:r>
      <w:r w:rsidR="008B2027" w:rsidRPr="00E30A15">
        <w:t xml:space="preserve"> </w:t>
      </w:r>
      <w:r w:rsidR="00467360">
        <w:t xml:space="preserve">primary </w:t>
      </w:r>
      <w:r w:rsidR="00BC32F6">
        <w:t xml:space="preserve">electronic </w:t>
      </w:r>
      <w:r w:rsidR="00467360">
        <w:t>materials for research</w:t>
      </w:r>
      <w:r w:rsidR="00127181">
        <w:t>, particularly those that support international studies</w:t>
      </w:r>
      <w:r w:rsidR="00467360">
        <w:t xml:space="preserve">.  </w:t>
      </w:r>
    </w:p>
    <w:p w:rsidR="005475C6" w:rsidRDefault="005475C6" w:rsidP="00502ED8">
      <w:pPr>
        <w:spacing w:after="100" w:afterAutospacing="1"/>
        <w:contextualSpacing/>
      </w:pPr>
    </w:p>
    <w:p w:rsidR="00ED2D71" w:rsidRDefault="00467360" w:rsidP="00502ED8">
      <w:pPr>
        <w:spacing w:after="100" w:afterAutospacing="1"/>
        <w:contextualSpacing/>
      </w:pPr>
      <w:r>
        <w:t xml:space="preserve">CRL </w:t>
      </w:r>
      <w:r w:rsidR="00BC32F6">
        <w:t xml:space="preserve">can fill some of this need.  It would be appropriate for CRL to support the licensing of two types of electronic resources:  large humanities and social sciences databases and datasets; and smaller, specialized or “niche” digital collections, </w:t>
      </w:r>
      <w:r w:rsidR="00BC32F6" w:rsidRPr="00E30A15">
        <w:t>in particular international</w:t>
      </w:r>
      <w:r w:rsidR="00BC32F6">
        <w:t xml:space="preserve"> and foreign language materials.  To this end CRL will take</w:t>
      </w:r>
      <w:r w:rsidR="00BC32F6" w:rsidRPr="00BC32F6">
        <w:t xml:space="preserve"> </w:t>
      </w:r>
      <w:r w:rsidR="00BC32F6">
        <w:t>some first steps, beginning in early 2012</w:t>
      </w:r>
      <w:r w:rsidR="00C67A40">
        <w:t>:</w:t>
      </w:r>
    </w:p>
    <w:p w:rsidR="00ED2D71" w:rsidRDefault="00ED2D71" w:rsidP="00502ED8">
      <w:pPr>
        <w:spacing w:after="100" w:afterAutospacing="1"/>
        <w:contextualSpacing/>
      </w:pPr>
    </w:p>
    <w:p w:rsidR="00ED2D71" w:rsidRDefault="000A13D2" w:rsidP="000A13D2">
      <w:pPr>
        <w:numPr>
          <w:ilvl w:val="0"/>
          <w:numId w:val="11"/>
        </w:numPr>
        <w:spacing w:after="100" w:afterAutospacing="1"/>
        <w:contextualSpacing/>
      </w:pPr>
      <w:r>
        <w:t xml:space="preserve">Gap analysis:  </w:t>
      </w:r>
      <w:r w:rsidR="009E63CC">
        <w:t xml:space="preserve">Working with </w:t>
      </w:r>
      <w:r w:rsidR="008B2027">
        <w:t xml:space="preserve">a small number of </w:t>
      </w:r>
      <w:r w:rsidR="009E63CC">
        <w:t xml:space="preserve">partner consortia, CRL will survey </w:t>
      </w:r>
      <w:r w:rsidR="00C67A40">
        <w:t xml:space="preserve">collection development and electronic resources </w:t>
      </w:r>
      <w:r w:rsidR="008B2027">
        <w:t>librarians</w:t>
      </w:r>
      <w:r w:rsidR="00BD5E97">
        <w:t xml:space="preserve"> </w:t>
      </w:r>
      <w:r>
        <w:t xml:space="preserve">to identify </w:t>
      </w:r>
      <w:r w:rsidR="005475C6">
        <w:t xml:space="preserve">the methods, </w:t>
      </w:r>
      <w:r w:rsidR="008B2027">
        <w:t xml:space="preserve">tools, </w:t>
      </w:r>
      <w:r w:rsidR="005475C6">
        <w:t xml:space="preserve">and </w:t>
      </w:r>
      <w:r w:rsidR="008B2027">
        <w:t>metrics</w:t>
      </w:r>
      <w:r w:rsidR="005475C6">
        <w:t xml:space="preserve"> </w:t>
      </w:r>
      <w:r w:rsidR="008B2027">
        <w:t xml:space="preserve">currently employed </w:t>
      </w:r>
      <w:r w:rsidR="005475C6">
        <w:t xml:space="preserve">by libraries and consortia </w:t>
      </w:r>
      <w:r w:rsidR="008B2027">
        <w:t xml:space="preserve">in </w:t>
      </w:r>
      <w:r>
        <w:t>acquisition decision-making and post-licensing assessments</w:t>
      </w:r>
      <w:r w:rsidR="005475C6">
        <w:t xml:space="preserve">.  This survey will also explore </w:t>
      </w:r>
      <w:r>
        <w:t xml:space="preserve">the </w:t>
      </w:r>
      <w:r w:rsidR="005475C6">
        <w:t xml:space="preserve">usefulness of cooperative trials of major databases.  </w:t>
      </w:r>
    </w:p>
    <w:p w:rsidR="00F42A8B" w:rsidRDefault="00F42A8B" w:rsidP="00F42A8B">
      <w:pPr>
        <w:spacing w:after="100" w:afterAutospacing="1"/>
        <w:ind w:left="720"/>
        <w:contextualSpacing/>
      </w:pPr>
    </w:p>
    <w:p w:rsidR="00C67A40" w:rsidRDefault="001C6F77" w:rsidP="00E51615">
      <w:pPr>
        <w:numPr>
          <w:ilvl w:val="0"/>
          <w:numId w:val="11"/>
        </w:numPr>
        <w:spacing w:after="100" w:afterAutospacing="1"/>
        <w:contextualSpacing/>
      </w:pPr>
      <w:r>
        <w:t xml:space="preserve">Database assessments: </w:t>
      </w:r>
      <w:r w:rsidR="00BC32F6">
        <w:t xml:space="preserve"> </w:t>
      </w:r>
      <w:r w:rsidR="000A13D2">
        <w:t xml:space="preserve">CRL will continue to </w:t>
      </w:r>
      <w:r w:rsidR="009C68C3">
        <w:t xml:space="preserve">scale up </w:t>
      </w:r>
      <w:r w:rsidR="000A13D2">
        <w:t xml:space="preserve">its capabilities for analysis </w:t>
      </w:r>
      <w:r w:rsidR="009C68C3">
        <w:t xml:space="preserve">and evaluation </w:t>
      </w:r>
      <w:r w:rsidR="000A13D2">
        <w:t xml:space="preserve">of major primary databases in </w:t>
      </w:r>
      <w:r w:rsidR="00E51615" w:rsidRPr="00E51615">
        <w:t xml:space="preserve">key </w:t>
      </w:r>
      <w:r w:rsidR="000A13D2">
        <w:t xml:space="preserve">areas </w:t>
      </w:r>
      <w:r w:rsidR="003E3799" w:rsidRPr="00E51615">
        <w:t>of research interest</w:t>
      </w:r>
      <w:r w:rsidR="003E3799">
        <w:t xml:space="preserve"> </w:t>
      </w:r>
      <w:r w:rsidR="000A13D2">
        <w:t xml:space="preserve">and </w:t>
      </w:r>
      <w:r w:rsidR="009C68C3">
        <w:t xml:space="preserve">will </w:t>
      </w:r>
      <w:r w:rsidR="000A13D2">
        <w:t>provide venues for the sharing of information/intelligence</w:t>
      </w:r>
      <w:r w:rsidR="009E63CC">
        <w:t xml:space="preserve"> needed to support </w:t>
      </w:r>
      <w:r w:rsidR="000A13D2">
        <w:t>planning and the prudent ma</w:t>
      </w:r>
      <w:r w:rsidR="005475C6">
        <w:t xml:space="preserve">nagement of </w:t>
      </w:r>
      <w:r w:rsidR="000A13D2">
        <w:t>library and consortium resources</w:t>
      </w:r>
      <w:r w:rsidR="009E63CC">
        <w:t>.</w:t>
      </w:r>
    </w:p>
    <w:p w:rsidR="001C6F77" w:rsidRDefault="001C6F77" w:rsidP="001C6F77">
      <w:pPr>
        <w:spacing w:after="100" w:afterAutospacing="1"/>
        <w:ind w:left="720"/>
        <w:contextualSpacing/>
      </w:pPr>
    </w:p>
    <w:p w:rsidR="001C6F77" w:rsidRDefault="001C6F77" w:rsidP="001C6F77">
      <w:pPr>
        <w:numPr>
          <w:ilvl w:val="0"/>
          <w:numId w:val="11"/>
        </w:numPr>
        <w:spacing w:after="100" w:afterAutospacing="1"/>
        <w:contextualSpacing/>
      </w:pPr>
      <w:r>
        <w:t>Comparative analyses:  CRL will undertake comparative analyses of open access and commercially available digital collections in its key areas, and</w:t>
      </w:r>
      <w:r w:rsidRPr="00C67A40">
        <w:t xml:space="preserve"> </w:t>
      </w:r>
      <w:r w:rsidR="00AD75F0">
        <w:t xml:space="preserve">will </w:t>
      </w:r>
      <w:r w:rsidRPr="00C67A40">
        <w:t>assess the value of such activit</w:t>
      </w:r>
      <w:r>
        <w:t>ies</w:t>
      </w:r>
      <w:r w:rsidRPr="00C67A40">
        <w:t xml:space="preserve"> for additional subject areas.</w:t>
      </w:r>
      <w:r>
        <w:t xml:space="preserve"> </w:t>
      </w:r>
      <w:r w:rsidR="00AD75F0">
        <w:t>These key areas include news, law and government information, agriculture, and the history of science</w:t>
      </w:r>
      <w:proofErr w:type="gramStart"/>
      <w:r w:rsidR="00AD75F0">
        <w:t>,  with</w:t>
      </w:r>
      <w:proofErr w:type="gramEnd"/>
      <w:r w:rsidR="00AD75F0">
        <w:t xml:space="preserve"> particular emphasis on foreign and foreign language materials.  </w:t>
      </w:r>
    </w:p>
    <w:p w:rsidR="00F42A8B" w:rsidRDefault="00F42A8B" w:rsidP="00F42A8B">
      <w:pPr>
        <w:spacing w:after="100" w:afterAutospacing="1"/>
        <w:ind w:left="720"/>
        <w:contextualSpacing/>
      </w:pPr>
    </w:p>
    <w:p w:rsidR="00F42A8B" w:rsidRDefault="00AD75F0" w:rsidP="00B9512B">
      <w:pPr>
        <w:numPr>
          <w:ilvl w:val="0"/>
          <w:numId w:val="11"/>
        </w:numPr>
        <w:spacing w:after="100" w:afterAutospacing="1"/>
        <w:contextualSpacing/>
      </w:pPr>
      <w:r>
        <w:t>Pipeline</w:t>
      </w:r>
      <w:r w:rsidR="001C6F77">
        <w:t xml:space="preserve"> intelligence:  </w:t>
      </w:r>
      <w:r w:rsidR="009C68C3">
        <w:t xml:space="preserve">CRL will actively endeavor to </w:t>
      </w:r>
      <w:r w:rsidR="00C67A40" w:rsidRPr="00C67A40">
        <w:t>mak</w:t>
      </w:r>
      <w:r w:rsidR="009C68C3">
        <w:t xml:space="preserve">e </w:t>
      </w:r>
      <w:r w:rsidR="005475C6">
        <w:t xml:space="preserve">the </w:t>
      </w:r>
      <w:r w:rsidR="00C67A40" w:rsidRPr="00C67A40">
        <w:t xml:space="preserve">pricing and "pipeline" activities </w:t>
      </w:r>
      <w:r w:rsidR="009C68C3">
        <w:t xml:space="preserve">of </w:t>
      </w:r>
      <w:r w:rsidR="005475C6">
        <w:t xml:space="preserve">selected </w:t>
      </w:r>
      <w:r w:rsidR="009C68C3">
        <w:t xml:space="preserve">database providers </w:t>
      </w:r>
      <w:r w:rsidR="00C67A40" w:rsidRPr="00C67A40">
        <w:t>better understood and transparent</w:t>
      </w:r>
      <w:r w:rsidR="009C68C3">
        <w:t>, through appropriate dealings with those organizations</w:t>
      </w:r>
      <w:r w:rsidR="00C67A40" w:rsidRPr="00C67A40">
        <w:t>.</w:t>
      </w:r>
      <w:r w:rsidR="009C68C3">
        <w:t xml:space="preserve">  </w:t>
      </w:r>
      <w:r w:rsidR="00501B96">
        <w:t xml:space="preserve">This activity will focus on electronic resources in the </w:t>
      </w:r>
      <w:r>
        <w:t xml:space="preserve">aforementioned </w:t>
      </w:r>
      <w:r w:rsidR="00501B96">
        <w:t>key areas</w:t>
      </w:r>
      <w:r>
        <w:t xml:space="preserve">.  </w:t>
      </w:r>
    </w:p>
    <w:p w:rsidR="00F42A8B" w:rsidRDefault="00F42A8B" w:rsidP="00F42A8B">
      <w:pPr>
        <w:spacing w:after="100" w:afterAutospacing="1"/>
        <w:ind w:left="720"/>
        <w:contextualSpacing/>
      </w:pPr>
    </w:p>
    <w:p w:rsidR="00C67A40" w:rsidRDefault="00AD75F0" w:rsidP="00502ED8">
      <w:pPr>
        <w:spacing w:after="100" w:afterAutospacing="1"/>
        <w:contextualSpacing/>
      </w:pPr>
      <w:r>
        <w:t xml:space="preserve">In general, the preconference was a stimulating and informative experience for all involved.  </w:t>
      </w:r>
      <w:r w:rsidR="006177D3">
        <w:t xml:space="preserve">The presentations and discussions also helped bring into focus some ways in which CRL can support effective, strategic development of collections in the digital arena.  CRL </w:t>
      </w:r>
      <w:r>
        <w:t xml:space="preserve">will report on </w:t>
      </w:r>
      <w:r w:rsidR="006177D3">
        <w:t xml:space="preserve">its progress in this area </w:t>
      </w:r>
      <w:r>
        <w:t xml:space="preserve">in future issues of </w:t>
      </w:r>
      <w:r w:rsidRPr="00AD75F0">
        <w:rPr>
          <w:i/>
        </w:rPr>
        <w:t>The Charleston Advisor</w:t>
      </w:r>
      <w:r>
        <w:t xml:space="preserve"> and at future Charleston conferences.   </w:t>
      </w:r>
    </w:p>
    <w:sectPr w:rsidR="00C67A40" w:rsidSect="001B4E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CDB"/>
    <w:multiLevelType w:val="hybridMultilevel"/>
    <w:tmpl w:val="C238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C3CFD"/>
    <w:multiLevelType w:val="hybridMultilevel"/>
    <w:tmpl w:val="0FB0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F5D51"/>
    <w:multiLevelType w:val="hybridMultilevel"/>
    <w:tmpl w:val="6C90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96472"/>
    <w:multiLevelType w:val="hybridMultilevel"/>
    <w:tmpl w:val="456247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53B28F0"/>
    <w:multiLevelType w:val="hybridMultilevel"/>
    <w:tmpl w:val="74041B3C"/>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B6ADE"/>
    <w:multiLevelType w:val="hybridMultilevel"/>
    <w:tmpl w:val="4A5E6C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4A35BF"/>
    <w:multiLevelType w:val="hybridMultilevel"/>
    <w:tmpl w:val="3798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457C8"/>
    <w:multiLevelType w:val="hybridMultilevel"/>
    <w:tmpl w:val="0686A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BA90628"/>
    <w:multiLevelType w:val="hybridMultilevel"/>
    <w:tmpl w:val="CB1C95D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984351"/>
    <w:multiLevelType w:val="hybridMultilevel"/>
    <w:tmpl w:val="AC6A0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793367"/>
    <w:multiLevelType w:val="hybridMultilevel"/>
    <w:tmpl w:val="4640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0B72E0"/>
    <w:multiLevelType w:val="hybridMultilevel"/>
    <w:tmpl w:val="74381E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B15E10"/>
    <w:multiLevelType w:val="hybridMultilevel"/>
    <w:tmpl w:val="980C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7E12FE"/>
    <w:multiLevelType w:val="hybridMultilevel"/>
    <w:tmpl w:val="7D243A7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7C21C7"/>
    <w:multiLevelType w:val="hybridMultilevel"/>
    <w:tmpl w:val="0CEC3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D6011C"/>
    <w:multiLevelType w:val="hybridMultilevel"/>
    <w:tmpl w:val="D5663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0"/>
  </w:num>
  <w:num w:numId="4">
    <w:abstractNumId w:val="13"/>
  </w:num>
  <w:num w:numId="5">
    <w:abstractNumId w:val="4"/>
  </w:num>
  <w:num w:numId="6">
    <w:abstractNumId w:val="5"/>
  </w:num>
  <w:num w:numId="7">
    <w:abstractNumId w:val="14"/>
  </w:num>
  <w:num w:numId="8">
    <w:abstractNumId w:val="11"/>
  </w:num>
  <w:num w:numId="9">
    <w:abstractNumId w:val="1"/>
  </w:num>
  <w:num w:numId="10">
    <w:abstractNumId w:val="6"/>
  </w:num>
  <w:num w:numId="11">
    <w:abstractNumId w:val="9"/>
  </w:num>
  <w:num w:numId="12">
    <w:abstractNumId w:val="0"/>
  </w:num>
  <w:num w:numId="13">
    <w:abstractNumId w:val="2"/>
  </w:num>
  <w:num w:numId="14">
    <w:abstractNumId w:val="3"/>
  </w:num>
  <w:num w:numId="15">
    <w:abstractNumId w:val="1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savePreviewPicture/>
  <w:compat/>
  <w:rsids>
    <w:rsidRoot w:val="00D341F9"/>
    <w:rsid w:val="000011C4"/>
    <w:rsid w:val="00030A39"/>
    <w:rsid w:val="00037302"/>
    <w:rsid w:val="000544A0"/>
    <w:rsid w:val="00096F9A"/>
    <w:rsid w:val="000A13D2"/>
    <w:rsid w:val="000F3192"/>
    <w:rsid w:val="00127181"/>
    <w:rsid w:val="001B4EFC"/>
    <w:rsid w:val="001C6F77"/>
    <w:rsid w:val="001F3B66"/>
    <w:rsid w:val="00201B61"/>
    <w:rsid w:val="00215171"/>
    <w:rsid w:val="0026030B"/>
    <w:rsid w:val="002A6D89"/>
    <w:rsid w:val="002C2BE7"/>
    <w:rsid w:val="002E38BC"/>
    <w:rsid w:val="00300DBB"/>
    <w:rsid w:val="003179F3"/>
    <w:rsid w:val="0032117A"/>
    <w:rsid w:val="00326C8B"/>
    <w:rsid w:val="00334D47"/>
    <w:rsid w:val="003420B5"/>
    <w:rsid w:val="003522AC"/>
    <w:rsid w:val="00354A25"/>
    <w:rsid w:val="003A7FE4"/>
    <w:rsid w:val="003C49B9"/>
    <w:rsid w:val="003C7627"/>
    <w:rsid w:val="003E3799"/>
    <w:rsid w:val="00413C44"/>
    <w:rsid w:val="00467360"/>
    <w:rsid w:val="004837DB"/>
    <w:rsid w:val="004C5FCF"/>
    <w:rsid w:val="00501B96"/>
    <w:rsid w:val="00502ED8"/>
    <w:rsid w:val="005475C6"/>
    <w:rsid w:val="005675E2"/>
    <w:rsid w:val="00606DAC"/>
    <w:rsid w:val="0060769E"/>
    <w:rsid w:val="006177D3"/>
    <w:rsid w:val="00621FB7"/>
    <w:rsid w:val="006322B9"/>
    <w:rsid w:val="00666AD1"/>
    <w:rsid w:val="00680FCA"/>
    <w:rsid w:val="006922BD"/>
    <w:rsid w:val="006A597F"/>
    <w:rsid w:val="006F0DB4"/>
    <w:rsid w:val="00731330"/>
    <w:rsid w:val="00742791"/>
    <w:rsid w:val="00773623"/>
    <w:rsid w:val="00774183"/>
    <w:rsid w:val="0077584E"/>
    <w:rsid w:val="007928D8"/>
    <w:rsid w:val="007D6959"/>
    <w:rsid w:val="00835207"/>
    <w:rsid w:val="00851359"/>
    <w:rsid w:val="00895FEA"/>
    <w:rsid w:val="008B2027"/>
    <w:rsid w:val="008B26FC"/>
    <w:rsid w:val="008E142B"/>
    <w:rsid w:val="008F1C18"/>
    <w:rsid w:val="009B0BF4"/>
    <w:rsid w:val="009C6306"/>
    <w:rsid w:val="009C68C3"/>
    <w:rsid w:val="009D3534"/>
    <w:rsid w:val="009E63CC"/>
    <w:rsid w:val="00A04668"/>
    <w:rsid w:val="00A23EE1"/>
    <w:rsid w:val="00A560B4"/>
    <w:rsid w:val="00AB4952"/>
    <w:rsid w:val="00AD75F0"/>
    <w:rsid w:val="00AE069D"/>
    <w:rsid w:val="00B33C60"/>
    <w:rsid w:val="00B9512B"/>
    <w:rsid w:val="00BC32F6"/>
    <w:rsid w:val="00BD5E97"/>
    <w:rsid w:val="00C010E5"/>
    <w:rsid w:val="00C656C4"/>
    <w:rsid w:val="00C67A40"/>
    <w:rsid w:val="00C85DD6"/>
    <w:rsid w:val="00C931DF"/>
    <w:rsid w:val="00CB1149"/>
    <w:rsid w:val="00CB2F48"/>
    <w:rsid w:val="00D070B3"/>
    <w:rsid w:val="00D341F9"/>
    <w:rsid w:val="00DA6314"/>
    <w:rsid w:val="00DC3214"/>
    <w:rsid w:val="00DC3508"/>
    <w:rsid w:val="00E30A15"/>
    <w:rsid w:val="00E407F4"/>
    <w:rsid w:val="00E51615"/>
    <w:rsid w:val="00EB53BF"/>
    <w:rsid w:val="00ED2D71"/>
    <w:rsid w:val="00ED3533"/>
    <w:rsid w:val="00ED5AC6"/>
    <w:rsid w:val="00ED7D67"/>
    <w:rsid w:val="00F2516F"/>
    <w:rsid w:val="00F42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FC"/>
    <w:pPr>
      <w:spacing w:before="100" w:beforeAutospacing="1" w:line="36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6AD1"/>
    <w:pPr>
      <w:ind w:left="720"/>
      <w:contextualSpacing/>
    </w:pPr>
  </w:style>
  <w:style w:type="paragraph" w:styleId="BalloonText">
    <w:name w:val="Balloon Text"/>
    <w:basedOn w:val="Normal"/>
    <w:link w:val="BalloonTextChar"/>
    <w:uiPriority w:val="99"/>
    <w:semiHidden/>
    <w:rsid w:val="00A04668"/>
    <w:rPr>
      <w:rFonts w:ascii="Tahoma" w:hAnsi="Tahoma" w:cs="Tahoma"/>
      <w:sz w:val="16"/>
      <w:szCs w:val="16"/>
    </w:rPr>
  </w:style>
  <w:style w:type="character" w:customStyle="1" w:styleId="BalloonTextChar">
    <w:name w:val="Balloon Text Char"/>
    <w:basedOn w:val="DefaultParagraphFont"/>
    <w:link w:val="BalloonText"/>
    <w:uiPriority w:val="99"/>
    <w:semiHidden/>
    <w:rsid w:val="00C416CC"/>
    <w:rPr>
      <w:rFonts w:ascii="Times New Roman" w:hAnsi="Times New Roman"/>
      <w:sz w:val="0"/>
      <w:szCs w:val="0"/>
    </w:rPr>
  </w:style>
  <w:style w:type="character" w:styleId="CommentReference">
    <w:name w:val="annotation reference"/>
    <w:basedOn w:val="DefaultParagraphFont"/>
    <w:uiPriority w:val="99"/>
    <w:semiHidden/>
    <w:rsid w:val="00A04668"/>
    <w:rPr>
      <w:rFonts w:cs="Times New Roman"/>
      <w:sz w:val="16"/>
      <w:szCs w:val="16"/>
    </w:rPr>
  </w:style>
  <w:style w:type="paragraph" w:styleId="CommentText">
    <w:name w:val="annotation text"/>
    <w:basedOn w:val="Normal"/>
    <w:link w:val="CommentTextChar"/>
    <w:uiPriority w:val="99"/>
    <w:semiHidden/>
    <w:rsid w:val="00A04668"/>
    <w:rPr>
      <w:sz w:val="20"/>
      <w:szCs w:val="20"/>
    </w:rPr>
  </w:style>
  <w:style w:type="character" w:customStyle="1" w:styleId="CommentTextChar">
    <w:name w:val="Comment Text Char"/>
    <w:basedOn w:val="DefaultParagraphFont"/>
    <w:link w:val="CommentText"/>
    <w:uiPriority w:val="99"/>
    <w:semiHidden/>
    <w:rsid w:val="00C416CC"/>
    <w:rPr>
      <w:sz w:val="20"/>
      <w:szCs w:val="20"/>
    </w:rPr>
  </w:style>
  <w:style w:type="paragraph" w:styleId="CommentSubject">
    <w:name w:val="annotation subject"/>
    <w:basedOn w:val="CommentText"/>
    <w:next w:val="CommentText"/>
    <w:link w:val="CommentSubjectChar"/>
    <w:uiPriority w:val="99"/>
    <w:semiHidden/>
    <w:rsid w:val="00A04668"/>
    <w:rPr>
      <w:b/>
      <w:bCs/>
    </w:rPr>
  </w:style>
  <w:style w:type="character" w:customStyle="1" w:styleId="CommentSubjectChar">
    <w:name w:val="Comment Subject Char"/>
    <w:basedOn w:val="CommentTextChar"/>
    <w:link w:val="CommentSubject"/>
    <w:uiPriority w:val="99"/>
    <w:semiHidden/>
    <w:rsid w:val="00C416CC"/>
    <w:rPr>
      <w:b/>
      <w:bCs/>
    </w:rPr>
  </w:style>
  <w:style w:type="paragraph" w:styleId="NormalWeb">
    <w:name w:val="Normal (Web)"/>
    <w:basedOn w:val="Normal"/>
    <w:uiPriority w:val="99"/>
    <w:semiHidden/>
    <w:unhideWhenUsed/>
    <w:rsid w:val="00A23EE1"/>
    <w:rPr>
      <w:rFonts w:ascii="Times New Roman" w:hAnsi="Times New Roman"/>
      <w:sz w:val="24"/>
      <w:szCs w:val="24"/>
    </w:rPr>
  </w:style>
  <w:style w:type="character" w:styleId="Hyperlink">
    <w:name w:val="Hyperlink"/>
    <w:basedOn w:val="DefaultParagraphFont"/>
    <w:uiPriority w:val="99"/>
    <w:unhideWhenUsed/>
    <w:rsid w:val="00CB2F4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4786055">
      <w:bodyDiv w:val="1"/>
      <w:marLeft w:val="0"/>
      <w:marRight w:val="0"/>
      <w:marTop w:val="0"/>
      <w:marBottom w:val="0"/>
      <w:divBdr>
        <w:top w:val="none" w:sz="0" w:space="0" w:color="auto"/>
        <w:left w:val="none" w:sz="0" w:space="0" w:color="auto"/>
        <w:bottom w:val="none" w:sz="0" w:space="0" w:color="auto"/>
        <w:right w:val="none" w:sz="0" w:space="0" w:color="auto"/>
      </w:divBdr>
      <w:divsChild>
        <w:div w:id="1090127196">
          <w:marLeft w:val="0"/>
          <w:marRight w:val="0"/>
          <w:marTop w:val="0"/>
          <w:marBottom w:val="0"/>
          <w:divBdr>
            <w:top w:val="none" w:sz="0" w:space="0" w:color="auto"/>
            <w:left w:val="none" w:sz="0" w:space="0" w:color="auto"/>
            <w:bottom w:val="none" w:sz="0" w:space="0" w:color="auto"/>
            <w:right w:val="none" w:sz="0" w:space="0" w:color="auto"/>
          </w:divBdr>
          <w:divsChild>
            <w:div w:id="1900247714">
              <w:marLeft w:val="0"/>
              <w:marRight w:val="0"/>
              <w:marTop w:val="0"/>
              <w:marBottom w:val="0"/>
              <w:divBdr>
                <w:top w:val="none" w:sz="0" w:space="0" w:color="auto"/>
                <w:left w:val="none" w:sz="0" w:space="0" w:color="auto"/>
                <w:bottom w:val="none" w:sz="0" w:space="0" w:color="auto"/>
                <w:right w:val="none" w:sz="0" w:space="0" w:color="auto"/>
              </w:divBdr>
              <w:divsChild>
                <w:div w:id="1042286145">
                  <w:marLeft w:val="0"/>
                  <w:marRight w:val="0"/>
                  <w:marTop w:val="0"/>
                  <w:marBottom w:val="0"/>
                  <w:divBdr>
                    <w:top w:val="none" w:sz="0" w:space="0" w:color="auto"/>
                    <w:left w:val="none" w:sz="0" w:space="0" w:color="auto"/>
                    <w:bottom w:val="none" w:sz="0" w:space="0" w:color="auto"/>
                    <w:right w:val="none" w:sz="0" w:space="0" w:color="auto"/>
                  </w:divBdr>
                  <w:divsChild>
                    <w:div w:id="1272124906">
                      <w:marLeft w:val="0"/>
                      <w:marRight w:val="0"/>
                      <w:marTop w:val="0"/>
                      <w:marBottom w:val="0"/>
                      <w:divBdr>
                        <w:top w:val="none" w:sz="0" w:space="0" w:color="auto"/>
                        <w:left w:val="none" w:sz="0" w:space="0" w:color="auto"/>
                        <w:bottom w:val="none" w:sz="0" w:space="0" w:color="auto"/>
                        <w:right w:val="none" w:sz="0" w:space="0" w:color="auto"/>
                      </w:divBdr>
                      <w:divsChild>
                        <w:div w:id="719595912">
                          <w:marLeft w:val="0"/>
                          <w:marRight w:val="0"/>
                          <w:marTop w:val="0"/>
                          <w:marBottom w:val="0"/>
                          <w:divBdr>
                            <w:top w:val="none" w:sz="0" w:space="0" w:color="auto"/>
                            <w:left w:val="none" w:sz="0" w:space="0" w:color="auto"/>
                            <w:bottom w:val="none" w:sz="0" w:space="0" w:color="auto"/>
                            <w:right w:val="none" w:sz="0" w:space="0" w:color="auto"/>
                          </w:divBdr>
                          <w:divsChild>
                            <w:div w:id="866405993">
                              <w:marLeft w:val="0"/>
                              <w:marRight w:val="0"/>
                              <w:marTop w:val="0"/>
                              <w:marBottom w:val="0"/>
                              <w:divBdr>
                                <w:top w:val="none" w:sz="0" w:space="0" w:color="auto"/>
                                <w:left w:val="none" w:sz="0" w:space="0" w:color="auto"/>
                                <w:bottom w:val="none" w:sz="0" w:space="0" w:color="auto"/>
                                <w:right w:val="none" w:sz="0" w:space="0" w:color="auto"/>
                              </w:divBdr>
                              <w:divsChild>
                                <w:div w:id="12462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339986">
      <w:bodyDiv w:val="1"/>
      <w:marLeft w:val="0"/>
      <w:marRight w:val="0"/>
      <w:marTop w:val="0"/>
      <w:marBottom w:val="0"/>
      <w:divBdr>
        <w:top w:val="none" w:sz="0" w:space="0" w:color="auto"/>
        <w:left w:val="none" w:sz="0" w:space="0" w:color="auto"/>
        <w:bottom w:val="none" w:sz="0" w:space="0" w:color="auto"/>
        <w:right w:val="none" w:sz="0" w:space="0" w:color="auto"/>
      </w:divBdr>
    </w:div>
    <w:div w:id="673652481">
      <w:bodyDiv w:val="1"/>
      <w:marLeft w:val="0"/>
      <w:marRight w:val="0"/>
      <w:marTop w:val="0"/>
      <w:marBottom w:val="0"/>
      <w:divBdr>
        <w:top w:val="none" w:sz="0" w:space="0" w:color="auto"/>
        <w:left w:val="none" w:sz="0" w:space="0" w:color="auto"/>
        <w:bottom w:val="none" w:sz="0" w:space="0" w:color="auto"/>
        <w:right w:val="none" w:sz="0" w:space="0" w:color="auto"/>
      </w:divBdr>
      <w:divsChild>
        <w:div w:id="1350328301">
          <w:marLeft w:val="0"/>
          <w:marRight w:val="0"/>
          <w:marTop w:val="0"/>
          <w:marBottom w:val="0"/>
          <w:divBdr>
            <w:top w:val="none" w:sz="0" w:space="0" w:color="auto"/>
            <w:left w:val="none" w:sz="0" w:space="0" w:color="auto"/>
            <w:bottom w:val="none" w:sz="0" w:space="0" w:color="auto"/>
            <w:right w:val="none" w:sz="0" w:space="0" w:color="auto"/>
          </w:divBdr>
          <w:divsChild>
            <w:div w:id="1960602744">
              <w:marLeft w:val="0"/>
              <w:marRight w:val="0"/>
              <w:marTop w:val="0"/>
              <w:marBottom w:val="0"/>
              <w:divBdr>
                <w:top w:val="none" w:sz="0" w:space="0" w:color="auto"/>
                <w:left w:val="none" w:sz="0" w:space="0" w:color="auto"/>
                <w:bottom w:val="none" w:sz="0" w:space="0" w:color="auto"/>
                <w:right w:val="none" w:sz="0" w:space="0" w:color="auto"/>
              </w:divBdr>
              <w:divsChild>
                <w:div w:id="1938172307">
                  <w:marLeft w:val="0"/>
                  <w:marRight w:val="0"/>
                  <w:marTop w:val="0"/>
                  <w:marBottom w:val="0"/>
                  <w:divBdr>
                    <w:top w:val="none" w:sz="0" w:space="0" w:color="auto"/>
                    <w:left w:val="none" w:sz="0" w:space="0" w:color="auto"/>
                    <w:bottom w:val="none" w:sz="0" w:space="0" w:color="auto"/>
                    <w:right w:val="none" w:sz="0" w:space="0" w:color="auto"/>
                  </w:divBdr>
                  <w:divsChild>
                    <w:div w:id="1251281130">
                      <w:marLeft w:val="0"/>
                      <w:marRight w:val="0"/>
                      <w:marTop w:val="0"/>
                      <w:marBottom w:val="0"/>
                      <w:divBdr>
                        <w:top w:val="none" w:sz="0" w:space="0" w:color="auto"/>
                        <w:left w:val="none" w:sz="0" w:space="0" w:color="auto"/>
                        <w:bottom w:val="none" w:sz="0" w:space="0" w:color="auto"/>
                        <w:right w:val="none" w:sz="0" w:space="0" w:color="auto"/>
                      </w:divBdr>
                      <w:divsChild>
                        <w:div w:id="1358048131">
                          <w:marLeft w:val="0"/>
                          <w:marRight w:val="0"/>
                          <w:marTop w:val="0"/>
                          <w:marBottom w:val="0"/>
                          <w:divBdr>
                            <w:top w:val="none" w:sz="0" w:space="0" w:color="auto"/>
                            <w:left w:val="none" w:sz="0" w:space="0" w:color="auto"/>
                            <w:bottom w:val="none" w:sz="0" w:space="0" w:color="auto"/>
                            <w:right w:val="none" w:sz="0" w:space="0" w:color="auto"/>
                          </w:divBdr>
                          <w:divsChild>
                            <w:div w:id="1229343741">
                              <w:marLeft w:val="0"/>
                              <w:marRight w:val="0"/>
                              <w:marTop w:val="0"/>
                              <w:marBottom w:val="0"/>
                              <w:divBdr>
                                <w:top w:val="none" w:sz="0" w:space="0" w:color="auto"/>
                                <w:left w:val="none" w:sz="0" w:space="0" w:color="auto"/>
                                <w:bottom w:val="none" w:sz="0" w:space="0" w:color="auto"/>
                                <w:right w:val="none" w:sz="0" w:space="0" w:color="auto"/>
                              </w:divBdr>
                              <w:divsChild>
                                <w:div w:id="16697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321148">
      <w:bodyDiv w:val="1"/>
      <w:marLeft w:val="0"/>
      <w:marRight w:val="0"/>
      <w:marTop w:val="0"/>
      <w:marBottom w:val="0"/>
      <w:divBdr>
        <w:top w:val="none" w:sz="0" w:space="0" w:color="auto"/>
        <w:left w:val="none" w:sz="0" w:space="0" w:color="auto"/>
        <w:bottom w:val="none" w:sz="0" w:space="0" w:color="auto"/>
        <w:right w:val="none" w:sz="0" w:space="0" w:color="auto"/>
      </w:divBdr>
      <w:divsChild>
        <w:div w:id="1848977903">
          <w:marLeft w:val="0"/>
          <w:marRight w:val="0"/>
          <w:marTop w:val="0"/>
          <w:marBottom w:val="0"/>
          <w:divBdr>
            <w:top w:val="none" w:sz="0" w:space="0" w:color="auto"/>
            <w:left w:val="none" w:sz="0" w:space="0" w:color="auto"/>
            <w:bottom w:val="none" w:sz="0" w:space="0" w:color="auto"/>
            <w:right w:val="none" w:sz="0" w:space="0" w:color="auto"/>
          </w:divBdr>
          <w:divsChild>
            <w:div w:id="1639258710">
              <w:marLeft w:val="0"/>
              <w:marRight w:val="0"/>
              <w:marTop w:val="0"/>
              <w:marBottom w:val="0"/>
              <w:divBdr>
                <w:top w:val="none" w:sz="0" w:space="0" w:color="auto"/>
                <w:left w:val="none" w:sz="0" w:space="0" w:color="auto"/>
                <w:bottom w:val="none" w:sz="0" w:space="0" w:color="auto"/>
                <w:right w:val="none" w:sz="0" w:space="0" w:color="auto"/>
              </w:divBdr>
              <w:divsChild>
                <w:div w:id="1292520069">
                  <w:marLeft w:val="0"/>
                  <w:marRight w:val="0"/>
                  <w:marTop w:val="0"/>
                  <w:marBottom w:val="0"/>
                  <w:divBdr>
                    <w:top w:val="none" w:sz="0" w:space="0" w:color="auto"/>
                    <w:left w:val="none" w:sz="0" w:space="0" w:color="auto"/>
                    <w:bottom w:val="none" w:sz="0" w:space="0" w:color="auto"/>
                    <w:right w:val="none" w:sz="0" w:space="0" w:color="auto"/>
                  </w:divBdr>
                  <w:divsChild>
                    <w:div w:id="1134517914">
                      <w:marLeft w:val="0"/>
                      <w:marRight w:val="0"/>
                      <w:marTop w:val="0"/>
                      <w:marBottom w:val="0"/>
                      <w:divBdr>
                        <w:top w:val="none" w:sz="0" w:space="0" w:color="auto"/>
                        <w:left w:val="none" w:sz="0" w:space="0" w:color="auto"/>
                        <w:bottom w:val="none" w:sz="0" w:space="0" w:color="auto"/>
                        <w:right w:val="none" w:sz="0" w:space="0" w:color="auto"/>
                      </w:divBdr>
                      <w:divsChild>
                        <w:div w:id="1233346048">
                          <w:marLeft w:val="0"/>
                          <w:marRight w:val="0"/>
                          <w:marTop w:val="0"/>
                          <w:marBottom w:val="0"/>
                          <w:divBdr>
                            <w:top w:val="none" w:sz="0" w:space="0" w:color="auto"/>
                            <w:left w:val="none" w:sz="0" w:space="0" w:color="auto"/>
                            <w:bottom w:val="none" w:sz="0" w:space="0" w:color="auto"/>
                            <w:right w:val="none" w:sz="0" w:space="0" w:color="auto"/>
                          </w:divBdr>
                          <w:divsChild>
                            <w:div w:id="639968447">
                              <w:marLeft w:val="0"/>
                              <w:marRight w:val="0"/>
                              <w:marTop w:val="0"/>
                              <w:marBottom w:val="0"/>
                              <w:divBdr>
                                <w:top w:val="none" w:sz="0" w:space="0" w:color="auto"/>
                                <w:left w:val="none" w:sz="0" w:space="0" w:color="auto"/>
                                <w:bottom w:val="none" w:sz="0" w:space="0" w:color="auto"/>
                                <w:right w:val="none" w:sz="0" w:space="0" w:color="auto"/>
                              </w:divBdr>
                              <w:divsChild>
                                <w:div w:id="18707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302584">
      <w:bodyDiv w:val="1"/>
      <w:marLeft w:val="0"/>
      <w:marRight w:val="0"/>
      <w:marTop w:val="0"/>
      <w:marBottom w:val="0"/>
      <w:divBdr>
        <w:top w:val="none" w:sz="0" w:space="0" w:color="auto"/>
        <w:left w:val="none" w:sz="0" w:space="0" w:color="auto"/>
        <w:bottom w:val="none" w:sz="0" w:space="0" w:color="auto"/>
        <w:right w:val="none" w:sz="0" w:space="0" w:color="auto"/>
      </w:divBdr>
      <w:divsChild>
        <w:div w:id="434792351">
          <w:marLeft w:val="0"/>
          <w:marRight w:val="0"/>
          <w:marTop w:val="0"/>
          <w:marBottom w:val="0"/>
          <w:divBdr>
            <w:top w:val="none" w:sz="0" w:space="0" w:color="auto"/>
            <w:left w:val="none" w:sz="0" w:space="0" w:color="auto"/>
            <w:bottom w:val="none" w:sz="0" w:space="0" w:color="auto"/>
            <w:right w:val="none" w:sz="0" w:space="0" w:color="auto"/>
          </w:divBdr>
          <w:divsChild>
            <w:div w:id="413017428">
              <w:marLeft w:val="0"/>
              <w:marRight w:val="0"/>
              <w:marTop w:val="0"/>
              <w:marBottom w:val="0"/>
              <w:divBdr>
                <w:top w:val="none" w:sz="0" w:space="0" w:color="auto"/>
                <w:left w:val="none" w:sz="0" w:space="0" w:color="auto"/>
                <w:bottom w:val="none" w:sz="0" w:space="0" w:color="auto"/>
                <w:right w:val="none" w:sz="0" w:space="0" w:color="auto"/>
              </w:divBdr>
              <w:divsChild>
                <w:div w:id="1982881476">
                  <w:marLeft w:val="0"/>
                  <w:marRight w:val="0"/>
                  <w:marTop w:val="0"/>
                  <w:marBottom w:val="0"/>
                  <w:divBdr>
                    <w:top w:val="none" w:sz="0" w:space="0" w:color="auto"/>
                    <w:left w:val="none" w:sz="0" w:space="0" w:color="auto"/>
                    <w:bottom w:val="none" w:sz="0" w:space="0" w:color="auto"/>
                    <w:right w:val="none" w:sz="0" w:space="0" w:color="auto"/>
                  </w:divBdr>
                  <w:divsChild>
                    <w:div w:id="1520003045">
                      <w:marLeft w:val="0"/>
                      <w:marRight w:val="0"/>
                      <w:marTop w:val="0"/>
                      <w:marBottom w:val="0"/>
                      <w:divBdr>
                        <w:top w:val="none" w:sz="0" w:space="0" w:color="auto"/>
                        <w:left w:val="none" w:sz="0" w:space="0" w:color="auto"/>
                        <w:bottom w:val="none" w:sz="0" w:space="0" w:color="auto"/>
                        <w:right w:val="none" w:sz="0" w:space="0" w:color="auto"/>
                      </w:divBdr>
                      <w:divsChild>
                        <w:div w:id="707336806">
                          <w:marLeft w:val="0"/>
                          <w:marRight w:val="0"/>
                          <w:marTop w:val="0"/>
                          <w:marBottom w:val="0"/>
                          <w:divBdr>
                            <w:top w:val="none" w:sz="0" w:space="0" w:color="auto"/>
                            <w:left w:val="none" w:sz="0" w:space="0" w:color="auto"/>
                            <w:bottom w:val="none" w:sz="0" w:space="0" w:color="auto"/>
                            <w:right w:val="none" w:sz="0" w:space="0" w:color="auto"/>
                          </w:divBdr>
                          <w:divsChild>
                            <w:div w:id="1761026088">
                              <w:marLeft w:val="0"/>
                              <w:marRight w:val="0"/>
                              <w:marTop w:val="0"/>
                              <w:marBottom w:val="0"/>
                              <w:divBdr>
                                <w:top w:val="none" w:sz="0" w:space="0" w:color="auto"/>
                                <w:left w:val="none" w:sz="0" w:space="0" w:color="auto"/>
                                <w:bottom w:val="none" w:sz="0" w:space="0" w:color="auto"/>
                                <w:right w:val="none" w:sz="0" w:space="0" w:color="auto"/>
                              </w:divBdr>
                              <w:divsChild>
                                <w:div w:id="1602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85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rl.edu/events/73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C5766-AEC1-402D-B1D2-53A21E40C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Charleston Pre-Conference “Weighing the Evidence”</vt:lpstr>
    </vt:vector>
  </TitlesOfParts>
  <Company/>
  <LinksUpToDate>false</LinksUpToDate>
  <CharactersWithSpaces>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Charleston Pre-Conference “Weighing the Evidence”</dc:title>
  <dc:creator>reilly</dc:creator>
  <cp:lastModifiedBy>gihnat</cp:lastModifiedBy>
  <cp:revision>2</cp:revision>
  <cp:lastPrinted>2011-12-05T22:12:00Z</cp:lastPrinted>
  <dcterms:created xsi:type="dcterms:W3CDTF">2011-12-16T23:04:00Z</dcterms:created>
  <dcterms:modified xsi:type="dcterms:W3CDTF">2011-12-16T23:04:00Z</dcterms:modified>
</cp:coreProperties>
</file>