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8" w:rsidRDefault="00F26478" w:rsidP="00722CB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-28575</wp:posOffset>
            </wp:positionV>
            <wp:extent cx="3233420" cy="1019175"/>
            <wp:effectExtent l="0" t="0" r="5080" b="9525"/>
            <wp:wrapThrough wrapText="bothSides">
              <wp:wrapPolygon edited="0">
                <wp:start x="2418" y="0"/>
                <wp:lineTo x="1654" y="807"/>
                <wp:lineTo x="0" y="5249"/>
                <wp:lineTo x="0" y="14938"/>
                <wp:lineTo x="1654" y="19783"/>
                <wp:lineTo x="3818" y="21398"/>
                <wp:lineTo x="5854" y="21398"/>
                <wp:lineTo x="12726" y="19783"/>
                <wp:lineTo x="14762" y="18572"/>
                <wp:lineTo x="14507" y="13323"/>
                <wp:lineTo x="21507" y="8479"/>
                <wp:lineTo x="21507" y="404"/>
                <wp:lineTo x="3818" y="0"/>
                <wp:lineTo x="2418" y="0"/>
              </wp:wrapPolygon>
            </wp:wrapThrough>
            <wp:docPr id="1" name="Picture 1" descr="I:\ASERL\j-Retain\scholars-trust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ERL\j-Retain\scholars-trust-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EA4">
        <w:rPr>
          <w:sz w:val="32"/>
          <w:szCs w:val="32"/>
        </w:rPr>
        <w:t>PRINT</w:t>
      </w:r>
      <w:r w:rsidR="00A11518" w:rsidRPr="001F50F3">
        <w:rPr>
          <w:sz w:val="32"/>
          <w:szCs w:val="32"/>
        </w:rPr>
        <w:t xml:space="preserve"> RETENTION PROGRAM UPDATE</w:t>
      </w:r>
    </w:p>
    <w:p w:rsidR="001F50F3" w:rsidRPr="00CF6DE0" w:rsidRDefault="000F1406" w:rsidP="00722C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2016</w:t>
      </w:r>
      <w:bookmarkStart w:id="0" w:name="_GoBack"/>
      <w:bookmarkEnd w:id="0"/>
    </w:p>
    <w:p w:rsidR="00722CB5" w:rsidRDefault="00722CB5" w:rsidP="00722CB5">
      <w:pPr>
        <w:spacing w:after="0" w:line="240" w:lineRule="auto"/>
        <w:rPr>
          <w:bCs/>
          <w:sz w:val="24"/>
          <w:szCs w:val="24"/>
        </w:rPr>
      </w:pPr>
    </w:p>
    <w:p w:rsidR="00F26478" w:rsidRPr="00167BD1" w:rsidRDefault="00F26478" w:rsidP="00722CB5">
      <w:pPr>
        <w:spacing w:after="0" w:line="240" w:lineRule="auto"/>
        <w:rPr>
          <w:bCs/>
          <w:sz w:val="24"/>
          <w:szCs w:val="24"/>
        </w:rPr>
      </w:pPr>
    </w:p>
    <w:p w:rsidR="00167BD1" w:rsidRPr="00167BD1" w:rsidRDefault="00167BD1" w:rsidP="00722CB5">
      <w:pPr>
        <w:spacing w:after="0" w:line="240" w:lineRule="auto"/>
        <w:rPr>
          <w:bCs/>
          <w:sz w:val="24"/>
          <w:szCs w:val="24"/>
        </w:rPr>
      </w:pPr>
    </w:p>
    <w:p w:rsidR="00544AD1" w:rsidRPr="00216119" w:rsidRDefault="00167BD1" w:rsidP="00167BD1">
      <w:pPr>
        <w:spacing w:after="0" w:line="240" w:lineRule="auto"/>
        <w:rPr>
          <w:bCs/>
          <w:sz w:val="23"/>
          <w:szCs w:val="23"/>
        </w:rPr>
      </w:pPr>
      <w:r w:rsidRPr="00216119">
        <w:rPr>
          <w:bCs/>
          <w:sz w:val="23"/>
          <w:szCs w:val="23"/>
        </w:rPr>
        <w:t>Scholars Trust represents the shared print archives of the Association of Southeastern Research Libraries (</w:t>
      </w:r>
      <w:hyperlink r:id="rId9" w:history="1">
        <w:r w:rsidRPr="00216119">
          <w:rPr>
            <w:rStyle w:val="Hyperlink"/>
            <w:bCs/>
            <w:sz w:val="23"/>
            <w:szCs w:val="23"/>
          </w:rPr>
          <w:t>ASERL</w:t>
        </w:r>
      </w:hyperlink>
      <w:r w:rsidRPr="00216119">
        <w:rPr>
          <w:bCs/>
          <w:sz w:val="23"/>
          <w:szCs w:val="23"/>
        </w:rPr>
        <w:t>) and the Washington Research Library Consortium (</w:t>
      </w:r>
      <w:hyperlink r:id="rId10" w:history="1">
        <w:r w:rsidRPr="00216119">
          <w:rPr>
            <w:rStyle w:val="Hyperlink"/>
            <w:bCs/>
            <w:sz w:val="23"/>
            <w:szCs w:val="23"/>
          </w:rPr>
          <w:t>WRLC</w:t>
        </w:r>
      </w:hyperlink>
      <w:r w:rsidRPr="00216119">
        <w:rPr>
          <w:bCs/>
          <w:sz w:val="23"/>
          <w:szCs w:val="23"/>
        </w:rPr>
        <w:t xml:space="preserve">).   </w:t>
      </w:r>
    </w:p>
    <w:p w:rsidR="00AA6721" w:rsidRPr="00216119" w:rsidRDefault="00AA6721" w:rsidP="00167BD1">
      <w:pPr>
        <w:spacing w:after="0" w:line="240" w:lineRule="auto"/>
        <w:rPr>
          <w:rFonts w:eastAsia="Times New Roman"/>
          <w:sz w:val="23"/>
          <w:szCs w:val="23"/>
        </w:rPr>
      </w:pPr>
    </w:p>
    <w:p w:rsidR="00857852" w:rsidRPr="00216119" w:rsidRDefault="00857852" w:rsidP="00857852">
      <w:p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Scholars Trust</w:t>
      </w:r>
      <w:r w:rsidR="00A61A66" w:rsidRPr="00216119">
        <w:rPr>
          <w:sz w:val="23"/>
          <w:szCs w:val="23"/>
        </w:rPr>
        <w:t xml:space="preserve"> libraries </w:t>
      </w:r>
      <w:r w:rsidRPr="00216119">
        <w:rPr>
          <w:sz w:val="23"/>
          <w:szCs w:val="23"/>
        </w:rPr>
        <w:t xml:space="preserve">manage their </w:t>
      </w:r>
      <w:r w:rsidR="00BF6EA4">
        <w:rPr>
          <w:sz w:val="23"/>
          <w:szCs w:val="23"/>
        </w:rPr>
        <w:t xml:space="preserve">journal </w:t>
      </w:r>
      <w:r w:rsidRPr="00216119">
        <w:rPr>
          <w:sz w:val="23"/>
          <w:szCs w:val="23"/>
        </w:rPr>
        <w:t>retention commitments in the JRNL</w:t>
      </w:r>
      <w:r w:rsidR="009E1AEB" w:rsidRPr="00216119">
        <w:rPr>
          <w:sz w:val="23"/>
          <w:szCs w:val="23"/>
        </w:rPr>
        <w:t xml:space="preserve"> (Journal Retention and Needs Listing) </w:t>
      </w:r>
      <w:r w:rsidRPr="00216119">
        <w:rPr>
          <w:sz w:val="23"/>
          <w:szCs w:val="23"/>
        </w:rPr>
        <w:t xml:space="preserve">software </w:t>
      </w:r>
      <w:r w:rsidR="00E87CC5" w:rsidRPr="00216119">
        <w:rPr>
          <w:sz w:val="23"/>
          <w:szCs w:val="23"/>
        </w:rPr>
        <w:t>hosted by</w:t>
      </w:r>
      <w:r w:rsidRPr="00216119">
        <w:rPr>
          <w:sz w:val="23"/>
          <w:szCs w:val="23"/>
        </w:rPr>
        <w:t xml:space="preserve"> the University of Florid</w:t>
      </w:r>
      <w:r w:rsidR="00BF6EA4">
        <w:rPr>
          <w:sz w:val="23"/>
          <w:szCs w:val="23"/>
        </w:rPr>
        <w:t>a</w:t>
      </w:r>
      <w:r w:rsidR="00E87CC5" w:rsidRPr="00216119">
        <w:rPr>
          <w:sz w:val="23"/>
          <w:szCs w:val="23"/>
        </w:rPr>
        <w:t>.  F</w:t>
      </w:r>
      <w:r w:rsidRPr="00216119">
        <w:rPr>
          <w:sz w:val="23"/>
          <w:szCs w:val="23"/>
        </w:rPr>
        <w:t>or more information regarding JRNL please see the Scholars Trust program page</w:t>
      </w:r>
      <w:r w:rsidR="004D6469">
        <w:rPr>
          <w:sz w:val="23"/>
          <w:szCs w:val="23"/>
        </w:rPr>
        <w:t xml:space="preserve"> at </w:t>
      </w:r>
      <w:hyperlink r:id="rId11" w:history="1">
        <w:r w:rsidR="001E29E2" w:rsidRPr="008C5BFC">
          <w:rPr>
            <w:rStyle w:val="Hyperlink"/>
            <w:sz w:val="23"/>
            <w:szCs w:val="23"/>
          </w:rPr>
          <w:t>www.scholarstrust.org</w:t>
        </w:r>
      </w:hyperlink>
      <w:r w:rsidR="001E29E2">
        <w:rPr>
          <w:sz w:val="23"/>
          <w:szCs w:val="23"/>
        </w:rPr>
        <w:t>.</w:t>
      </w:r>
    </w:p>
    <w:p w:rsidR="00FB3672" w:rsidRPr="00216119" w:rsidRDefault="00FB3672" w:rsidP="00857852">
      <w:p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</w:p>
    <w:p w:rsidR="004630A5" w:rsidRPr="002C2339" w:rsidRDefault="00FB3672" w:rsidP="00722CB5">
      <w:pPr>
        <w:spacing w:after="0" w:line="240" w:lineRule="auto"/>
        <w:rPr>
          <w:sz w:val="23"/>
          <w:szCs w:val="23"/>
          <w:u w:val="single"/>
        </w:rPr>
        <w:sectPr w:rsidR="004630A5" w:rsidRPr="002C2339" w:rsidSect="0063015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216119">
        <w:rPr>
          <w:sz w:val="23"/>
          <w:szCs w:val="23"/>
          <w:u w:val="single"/>
        </w:rPr>
        <w:t>Participating ASERL</w:t>
      </w:r>
      <w:r w:rsidR="002C2339">
        <w:rPr>
          <w:sz w:val="23"/>
          <w:szCs w:val="23"/>
          <w:u w:val="single"/>
        </w:rPr>
        <w:t xml:space="preserve"> libraries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lastRenderedPageBreak/>
        <w:t>Auburn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Clemson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College of William &amp; Mary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Duke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East Carolina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Emory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Georgia Institute of Technology</w:t>
      </w:r>
    </w:p>
    <w:p w:rsidR="0038223B" w:rsidRPr="002C2339" w:rsidRDefault="0038223B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C2339">
        <w:rPr>
          <w:sz w:val="23"/>
          <w:szCs w:val="23"/>
        </w:rPr>
        <w:t xml:space="preserve">Johns Hopkins University 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Louisiana State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Mississippi State University</w:t>
      </w:r>
    </w:p>
    <w:p w:rsidR="0038223B" w:rsidRPr="00E55D5E" w:rsidRDefault="0038223B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E55D5E">
        <w:rPr>
          <w:sz w:val="23"/>
          <w:szCs w:val="23"/>
        </w:rPr>
        <w:t>National Agriculture Library (</w:t>
      </w:r>
      <w:r w:rsidR="00E87CC5" w:rsidRPr="00E55D5E">
        <w:rPr>
          <w:sz w:val="23"/>
          <w:szCs w:val="23"/>
        </w:rPr>
        <w:t xml:space="preserve">Program </w:t>
      </w:r>
      <w:r w:rsidRPr="00E55D5E">
        <w:rPr>
          <w:sz w:val="23"/>
          <w:szCs w:val="23"/>
        </w:rPr>
        <w:t>Affiliate)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lastRenderedPageBreak/>
        <w:t>North Carolina State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Tulane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Alabama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Florida</w:t>
      </w:r>
    </w:p>
    <w:p w:rsidR="00A61A66" w:rsidRPr="002C2339" w:rsidRDefault="00A61A66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C2339">
        <w:rPr>
          <w:sz w:val="23"/>
          <w:szCs w:val="23"/>
        </w:rPr>
        <w:t>University of Georgia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Kentucky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Louisville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Memphis</w:t>
      </w:r>
    </w:p>
    <w:p w:rsidR="007A69A5" w:rsidRPr="002C2339" w:rsidRDefault="007A69A5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C2339">
        <w:rPr>
          <w:sz w:val="23"/>
          <w:szCs w:val="23"/>
        </w:rPr>
        <w:t>University of Miami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Mississippi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North Carolina, Chapel Hill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lastRenderedPageBreak/>
        <w:t>University of North Carolina, Greensboro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South Carolina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Tennessee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University of Virginia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Virginia Commonwealth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Virginia Polytechnic Institute &amp; State University</w:t>
      </w:r>
    </w:p>
    <w:p w:rsidR="00B231A4" w:rsidRPr="00216119" w:rsidRDefault="00B231A4" w:rsidP="00857852">
      <w:pPr>
        <w:pStyle w:val="ListParagraph"/>
        <w:numPr>
          <w:ilvl w:val="0"/>
          <w:numId w:val="9"/>
        </w:num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Wake Forest University</w:t>
      </w:r>
    </w:p>
    <w:p w:rsidR="00B231A4" w:rsidRPr="00216119" w:rsidRDefault="00B231A4" w:rsidP="00722CB5">
      <w:pPr>
        <w:spacing w:after="0" w:line="240" w:lineRule="auto"/>
        <w:rPr>
          <w:b/>
          <w:bCs/>
          <w:sz w:val="23"/>
          <w:szCs w:val="23"/>
        </w:rPr>
        <w:sectPr w:rsidR="00B231A4" w:rsidRPr="00216119" w:rsidSect="00630159">
          <w:type w:val="continuous"/>
          <w:pgSz w:w="12240" w:h="15840"/>
          <w:pgMar w:top="720" w:right="1008" w:bottom="720" w:left="1008" w:header="720" w:footer="720" w:gutter="0"/>
          <w:cols w:num="3" w:space="225"/>
          <w:docGrid w:linePitch="360"/>
        </w:sectPr>
      </w:pPr>
    </w:p>
    <w:p w:rsidR="008E0E58" w:rsidRPr="00216119" w:rsidRDefault="008E0E58" w:rsidP="00722CB5">
      <w:pPr>
        <w:spacing w:after="0" w:line="240" w:lineRule="auto"/>
        <w:rPr>
          <w:b/>
          <w:bCs/>
          <w:sz w:val="23"/>
          <w:szCs w:val="23"/>
        </w:rPr>
      </w:pPr>
    </w:p>
    <w:p w:rsidR="00BF6EA4" w:rsidRPr="00C35426" w:rsidRDefault="00BF6EA4" w:rsidP="00722CB5">
      <w:pPr>
        <w:spacing w:after="0" w:line="240" w:lineRule="auto"/>
        <w:rPr>
          <w:sz w:val="23"/>
          <w:szCs w:val="23"/>
          <w:u w:val="single"/>
        </w:rPr>
      </w:pPr>
      <w:r w:rsidRPr="00C35426">
        <w:rPr>
          <w:sz w:val="23"/>
          <w:szCs w:val="23"/>
          <w:u w:val="single"/>
        </w:rPr>
        <w:t>Participating WRLC libraries</w:t>
      </w:r>
      <w:r>
        <w:rPr>
          <w:sz w:val="23"/>
          <w:szCs w:val="23"/>
          <w:u w:val="single"/>
        </w:rPr>
        <w:t xml:space="preserve">: </w:t>
      </w:r>
    </w:p>
    <w:p w:rsidR="00BF6EA4" w:rsidRDefault="00BF6EA4" w:rsidP="00722CB5">
      <w:pPr>
        <w:spacing w:after="0" w:line="240" w:lineRule="auto"/>
        <w:rPr>
          <w:sz w:val="23"/>
          <w:szCs w:val="23"/>
        </w:rPr>
        <w:sectPr w:rsidR="00BF6EA4" w:rsidSect="0063015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C35426">
        <w:rPr>
          <w:sz w:val="23"/>
          <w:szCs w:val="23"/>
        </w:rPr>
        <w:lastRenderedPageBreak/>
        <w:t>American University</w:t>
      </w: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 w:right="48"/>
        <w:rPr>
          <w:sz w:val="23"/>
          <w:szCs w:val="23"/>
        </w:rPr>
      </w:pPr>
      <w:r w:rsidRPr="00401B01">
        <w:rPr>
          <w:sz w:val="23"/>
          <w:szCs w:val="23"/>
        </w:rPr>
        <w:t>The Catholic University of America</w:t>
      </w:r>
    </w:p>
    <w:p w:rsidR="00401B01" w:rsidRDefault="00401B01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G</w:t>
      </w:r>
      <w:r w:rsidR="00BF6EA4" w:rsidRPr="00401B01">
        <w:rPr>
          <w:sz w:val="23"/>
          <w:szCs w:val="23"/>
        </w:rPr>
        <w:t>allaudet University</w:t>
      </w: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C35426">
        <w:rPr>
          <w:sz w:val="23"/>
          <w:szCs w:val="23"/>
        </w:rPr>
        <w:t>George Mason University</w:t>
      </w: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C35426">
        <w:rPr>
          <w:sz w:val="23"/>
          <w:szCs w:val="23"/>
        </w:rPr>
        <w:lastRenderedPageBreak/>
        <w:t xml:space="preserve">George </w:t>
      </w:r>
      <w:r w:rsidR="004D6469" w:rsidRPr="00C35426">
        <w:rPr>
          <w:sz w:val="23"/>
          <w:szCs w:val="23"/>
        </w:rPr>
        <w:t>Washington</w:t>
      </w:r>
      <w:r w:rsidRPr="00C35426">
        <w:rPr>
          <w:sz w:val="23"/>
          <w:szCs w:val="23"/>
        </w:rPr>
        <w:t xml:space="preserve"> University</w:t>
      </w: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401B01">
        <w:rPr>
          <w:sz w:val="23"/>
          <w:szCs w:val="23"/>
        </w:rPr>
        <w:t>Georgetown University</w:t>
      </w: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401B01">
        <w:rPr>
          <w:sz w:val="23"/>
          <w:szCs w:val="23"/>
        </w:rPr>
        <w:t>Howard University</w:t>
      </w:r>
    </w:p>
    <w:p w:rsidR="00401B01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401B01">
        <w:rPr>
          <w:sz w:val="23"/>
          <w:szCs w:val="23"/>
        </w:rPr>
        <w:t>Marymount University</w:t>
      </w:r>
    </w:p>
    <w:p w:rsidR="00BF6EA4" w:rsidRPr="00C35426" w:rsidRDefault="00BF6EA4" w:rsidP="00C3542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sz w:val="23"/>
          <w:szCs w:val="23"/>
        </w:rPr>
      </w:pPr>
      <w:r w:rsidRPr="00401B01">
        <w:rPr>
          <w:sz w:val="23"/>
          <w:szCs w:val="23"/>
        </w:rPr>
        <w:lastRenderedPageBreak/>
        <w:t>The University of the District of Columbia</w:t>
      </w:r>
    </w:p>
    <w:p w:rsidR="00BF6EA4" w:rsidRPr="00C35426" w:rsidRDefault="00BF6EA4" w:rsidP="00722CB5">
      <w:pPr>
        <w:spacing w:after="0" w:line="240" w:lineRule="auto"/>
        <w:rPr>
          <w:sz w:val="23"/>
          <w:szCs w:val="23"/>
        </w:rPr>
      </w:pPr>
    </w:p>
    <w:p w:rsidR="00BF6EA4" w:rsidRDefault="00BF6EA4" w:rsidP="00722CB5">
      <w:pPr>
        <w:spacing w:after="0" w:line="240" w:lineRule="auto"/>
        <w:rPr>
          <w:sz w:val="23"/>
          <w:szCs w:val="23"/>
        </w:rPr>
        <w:sectPr w:rsidR="00BF6EA4" w:rsidSect="00C35426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BF6EA4" w:rsidRPr="00C35426" w:rsidRDefault="00BF6EA4" w:rsidP="00722CB5">
      <w:pPr>
        <w:spacing w:after="0" w:line="240" w:lineRule="auto"/>
        <w:rPr>
          <w:sz w:val="23"/>
          <w:szCs w:val="23"/>
        </w:rPr>
      </w:pPr>
    </w:p>
    <w:p w:rsidR="00A11518" w:rsidRPr="00216119" w:rsidRDefault="00CF6DE0" w:rsidP="00722CB5">
      <w:pPr>
        <w:spacing w:after="0" w:line="240" w:lineRule="auto"/>
        <w:rPr>
          <w:b/>
          <w:sz w:val="23"/>
          <w:szCs w:val="23"/>
        </w:rPr>
      </w:pPr>
      <w:r w:rsidRPr="00216119">
        <w:rPr>
          <w:b/>
          <w:sz w:val="23"/>
          <w:szCs w:val="23"/>
        </w:rPr>
        <w:t xml:space="preserve">Program </w:t>
      </w:r>
      <w:r w:rsidR="00A11518" w:rsidRPr="00216119">
        <w:rPr>
          <w:b/>
          <w:sz w:val="23"/>
          <w:szCs w:val="23"/>
        </w:rPr>
        <w:t>Highlights -</w:t>
      </w:r>
    </w:p>
    <w:p w:rsidR="00A76C47" w:rsidRPr="00BF25CD" w:rsidRDefault="00A76C47" w:rsidP="00A76C4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 w:rsidRPr="00A76C47">
        <w:rPr>
          <w:rFonts w:cs="Helvetica"/>
          <w:color w:val="373737"/>
          <w:sz w:val="23"/>
          <w:szCs w:val="23"/>
        </w:rPr>
        <w:t xml:space="preserve">In September 2015, the Scholars Trust Steering </w:t>
      </w:r>
      <w:r w:rsidRPr="00BF25CD">
        <w:rPr>
          <w:rFonts w:cs="Helvetica"/>
          <w:sz w:val="23"/>
          <w:szCs w:val="23"/>
        </w:rPr>
        <w:t xml:space="preserve">Committee, in conjunction with the ASERL Board of Directors and WRLC Library Directors Council, approved a new </w:t>
      </w:r>
      <w:hyperlink r:id="rId12" w:history="1">
        <w:r w:rsidRPr="00BF25CD">
          <w:rPr>
            <w:rStyle w:val="Hyperlink"/>
            <w:rFonts w:cs="Helvetica"/>
            <w:color w:val="auto"/>
            <w:sz w:val="23"/>
            <w:szCs w:val="23"/>
          </w:rPr>
          <w:t>governance structure</w:t>
        </w:r>
      </w:hyperlink>
      <w:r w:rsidRPr="00BF25CD">
        <w:rPr>
          <w:rFonts w:cs="Helvetica"/>
          <w:sz w:val="23"/>
          <w:szCs w:val="23"/>
        </w:rPr>
        <w:t xml:space="preserve"> for Scholars Trust.  The new structure is to be implemented by February 1, 2016.</w:t>
      </w:r>
    </w:p>
    <w:p w:rsidR="00BF25CD" w:rsidRPr="00BF25CD" w:rsidRDefault="00BF25CD" w:rsidP="00BF25CD">
      <w:pPr>
        <w:pStyle w:val="ListParagraph"/>
        <w:spacing w:after="0" w:line="240" w:lineRule="auto"/>
        <w:ind w:left="360"/>
        <w:rPr>
          <w:rStyle w:val="Hyperlink"/>
          <w:color w:val="auto"/>
          <w:sz w:val="23"/>
          <w:szCs w:val="23"/>
          <w:u w:val="none"/>
        </w:rPr>
      </w:pPr>
    </w:p>
    <w:p w:rsidR="00B941B4" w:rsidRPr="00B941B4" w:rsidRDefault="00B941B4" w:rsidP="00B941B4">
      <w:p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b/>
          <w:color w:val="auto"/>
          <w:sz w:val="23"/>
          <w:szCs w:val="23"/>
          <w:u w:val="none"/>
        </w:rPr>
        <w:t>T</w:t>
      </w:r>
      <w:r w:rsidRPr="00B941B4">
        <w:rPr>
          <w:rStyle w:val="Hyperlink"/>
          <w:b/>
          <w:color w:val="auto"/>
          <w:sz w:val="23"/>
          <w:szCs w:val="23"/>
          <w:u w:val="none"/>
        </w:rPr>
        <w:t>he Jour</w:t>
      </w:r>
      <w:r>
        <w:rPr>
          <w:rStyle w:val="Hyperlink"/>
          <w:b/>
          <w:color w:val="auto"/>
          <w:sz w:val="23"/>
          <w:szCs w:val="23"/>
          <w:u w:val="none"/>
        </w:rPr>
        <w:t xml:space="preserve">nal Retention and Needs Listing (JRNL) </w:t>
      </w:r>
      <w:r w:rsidRPr="00B941B4">
        <w:rPr>
          <w:rStyle w:val="Hyperlink"/>
          <w:color w:val="auto"/>
          <w:sz w:val="23"/>
          <w:szCs w:val="23"/>
          <w:u w:val="none"/>
        </w:rPr>
        <w:t xml:space="preserve">is </w:t>
      </w:r>
      <w:r>
        <w:rPr>
          <w:rStyle w:val="Hyperlink"/>
          <w:color w:val="auto"/>
          <w:sz w:val="23"/>
          <w:szCs w:val="23"/>
          <w:u w:val="none"/>
        </w:rPr>
        <w:t>a software tool</w:t>
      </w:r>
      <w:r w:rsidRPr="00B941B4">
        <w:rPr>
          <w:rStyle w:val="Hyperlink"/>
          <w:b/>
          <w:color w:val="auto"/>
          <w:sz w:val="23"/>
          <w:szCs w:val="23"/>
          <w:u w:val="none"/>
        </w:rPr>
        <w:t xml:space="preserve"> </w:t>
      </w:r>
      <w:r w:rsidRPr="00B941B4">
        <w:rPr>
          <w:rStyle w:val="Hyperlink"/>
          <w:color w:val="auto"/>
          <w:sz w:val="23"/>
          <w:szCs w:val="23"/>
          <w:u w:val="none"/>
        </w:rPr>
        <w:t>that allows libraries to expose lists of print journals for which they have made retention commitments; and to express needs (or gaps) in their holdings</w:t>
      </w:r>
      <w:r>
        <w:rPr>
          <w:rStyle w:val="Hyperlink"/>
          <w:color w:val="auto"/>
          <w:sz w:val="23"/>
          <w:szCs w:val="23"/>
          <w:u w:val="none"/>
        </w:rPr>
        <w:t>.  The software facilitates</w:t>
      </w:r>
      <w:r w:rsidRPr="00B941B4">
        <w:rPr>
          <w:rStyle w:val="Hyperlink"/>
          <w:color w:val="auto"/>
          <w:sz w:val="23"/>
          <w:szCs w:val="23"/>
          <w:u w:val="none"/>
        </w:rPr>
        <w:t xml:space="preserve"> communication between library staff</w:t>
      </w:r>
      <w:r>
        <w:rPr>
          <w:rStyle w:val="Hyperlink"/>
          <w:color w:val="auto"/>
          <w:sz w:val="23"/>
          <w:szCs w:val="23"/>
          <w:u w:val="none"/>
        </w:rPr>
        <w:t xml:space="preserve"> among participating institutions</w:t>
      </w:r>
      <w:r w:rsidRPr="00B941B4">
        <w:rPr>
          <w:rStyle w:val="Hyperlink"/>
          <w:color w:val="auto"/>
          <w:sz w:val="23"/>
          <w:szCs w:val="23"/>
          <w:u w:val="none"/>
        </w:rPr>
        <w:t xml:space="preserve"> to identify holding commitments</w:t>
      </w:r>
      <w:r>
        <w:rPr>
          <w:rStyle w:val="Hyperlink"/>
          <w:color w:val="auto"/>
          <w:sz w:val="23"/>
          <w:szCs w:val="23"/>
          <w:u w:val="none"/>
        </w:rPr>
        <w:t xml:space="preserve">, gap filling opportunities as well as </w:t>
      </w:r>
      <w:r w:rsidRPr="00B941B4">
        <w:rPr>
          <w:rStyle w:val="Hyperlink"/>
          <w:color w:val="auto"/>
          <w:sz w:val="23"/>
          <w:szCs w:val="23"/>
          <w:u w:val="none"/>
        </w:rPr>
        <w:t>deselection decisions.</w:t>
      </w:r>
    </w:p>
    <w:p w:rsidR="00B941B4" w:rsidRDefault="00B941B4" w:rsidP="00BF25CD">
      <w:pPr>
        <w:spacing w:after="0" w:line="240" w:lineRule="auto"/>
        <w:rPr>
          <w:rStyle w:val="Hyperlink"/>
          <w:b/>
          <w:color w:val="auto"/>
          <w:sz w:val="23"/>
          <w:szCs w:val="23"/>
          <w:u w:val="none"/>
        </w:rPr>
      </w:pPr>
    </w:p>
    <w:p w:rsidR="004F68FE" w:rsidRPr="00BF25CD" w:rsidRDefault="004F68FE" w:rsidP="00BF25CD">
      <w:p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 w:rsidRPr="00BF25CD">
        <w:rPr>
          <w:rStyle w:val="Hyperlink"/>
          <w:b/>
          <w:color w:val="auto"/>
          <w:sz w:val="23"/>
          <w:szCs w:val="23"/>
          <w:u w:val="none"/>
        </w:rPr>
        <w:t>Highlights –</w:t>
      </w:r>
      <w:r w:rsidR="00B941B4">
        <w:rPr>
          <w:rStyle w:val="Hyperlink"/>
          <w:b/>
          <w:color w:val="auto"/>
          <w:sz w:val="23"/>
          <w:szCs w:val="23"/>
          <w:u w:val="none"/>
        </w:rPr>
        <w:t xml:space="preserve"> </w:t>
      </w:r>
    </w:p>
    <w:p w:rsidR="004F68FE" w:rsidRDefault="00BF25CD" w:rsidP="00E55D5E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>Three</w:t>
      </w:r>
      <w:r w:rsidR="004F68FE" w:rsidRPr="00216119">
        <w:rPr>
          <w:rStyle w:val="Hyperlink"/>
          <w:color w:val="auto"/>
          <w:sz w:val="23"/>
          <w:szCs w:val="23"/>
          <w:u w:val="none"/>
        </w:rPr>
        <w:t xml:space="preserve"> Archiving Programs (FLARE, </w:t>
      </w:r>
      <w:r>
        <w:rPr>
          <w:rStyle w:val="Hyperlink"/>
          <w:color w:val="auto"/>
          <w:sz w:val="23"/>
          <w:szCs w:val="23"/>
          <w:u w:val="none"/>
        </w:rPr>
        <w:t>Scholars Trust (</w:t>
      </w:r>
      <w:r w:rsidR="004F68FE" w:rsidRPr="00216119">
        <w:rPr>
          <w:rStyle w:val="Hyperlink"/>
          <w:color w:val="auto"/>
          <w:sz w:val="23"/>
          <w:szCs w:val="23"/>
          <w:u w:val="none"/>
        </w:rPr>
        <w:t>ASERL</w:t>
      </w:r>
      <w:r>
        <w:rPr>
          <w:rStyle w:val="Hyperlink"/>
          <w:color w:val="auto"/>
          <w:sz w:val="23"/>
          <w:szCs w:val="23"/>
          <w:u w:val="none"/>
        </w:rPr>
        <w:t xml:space="preserve"> +</w:t>
      </w:r>
      <w:r w:rsidR="004F68FE" w:rsidRPr="00216119">
        <w:rPr>
          <w:rStyle w:val="Hyperlink"/>
          <w:color w:val="auto"/>
          <w:sz w:val="23"/>
          <w:szCs w:val="23"/>
          <w:u w:val="none"/>
        </w:rPr>
        <w:t xml:space="preserve"> WR</w:t>
      </w:r>
      <w:r w:rsidR="00BF6EA4">
        <w:rPr>
          <w:rStyle w:val="Hyperlink"/>
          <w:color w:val="auto"/>
          <w:sz w:val="23"/>
          <w:szCs w:val="23"/>
          <w:u w:val="none"/>
        </w:rPr>
        <w:t>L</w:t>
      </w:r>
      <w:r w:rsidR="004F68FE" w:rsidRPr="00216119">
        <w:rPr>
          <w:rStyle w:val="Hyperlink"/>
          <w:color w:val="auto"/>
          <w:sz w:val="23"/>
          <w:szCs w:val="23"/>
          <w:u w:val="none"/>
        </w:rPr>
        <w:t>C</w:t>
      </w:r>
      <w:r>
        <w:rPr>
          <w:rStyle w:val="Hyperlink"/>
          <w:color w:val="auto"/>
          <w:sz w:val="23"/>
          <w:szCs w:val="23"/>
          <w:u w:val="none"/>
        </w:rPr>
        <w:t>)</w:t>
      </w:r>
      <w:r w:rsidR="004F68FE" w:rsidRPr="00216119">
        <w:rPr>
          <w:rStyle w:val="Hyperlink"/>
          <w:color w:val="auto"/>
          <w:sz w:val="23"/>
          <w:szCs w:val="23"/>
          <w:u w:val="none"/>
        </w:rPr>
        <w:t xml:space="preserve"> and WEST)</w:t>
      </w:r>
      <w:r w:rsidR="00E87CC5" w:rsidRPr="00216119">
        <w:rPr>
          <w:rStyle w:val="Hyperlink"/>
          <w:color w:val="auto"/>
          <w:sz w:val="23"/>
          <w:szCs w:val="23"/>
          <w:u w:val="none"/>
        </w:rPr>
        <w:t xml:space="preserve"> </w:t>
      </w:r>
      <w:r>
        <w:rPr>
          <w:rStyle w:val="Hyperlink"/>
          <w:color w:val="auto"/>
          <w:sz w:val="23"/>
          <w:szCs w:val="23"/>
          <w:u w:val="none"/>
        </w:rPr>
        <w:t xml:space="preserve">currently </w:t>
      </w:r>
      <w:r w:rsidR="00E87CC5" w:rsidRPr="00216119">
        <w:rPr>
          <w:rStyle w:val="Hyperlink"/>
          <w:color w:val="auto"/>
          <w:sz w:val="23"/>
          <w:szCs w:val="23"/>
          <w:u w:val="none"/>
        </w:rPr>
        <w:t>use</w:t>
      </w:r>
      <w:r>
        <w:rPr>
          <w:rStyle w:val="Hyperlink"/>
          <w:color w:val="auto"/>
          <w:sz w:val="23"/>
          <w:szCs w:val="23"/>
          <w:u w:val="none"/>
        </w:rPr>
        <w:t xml:space="preserve"> the</w:t>
      </w:r>
      <w:r w:rsidR="00E87CC5" w:rsidRPr="00216119">
        <w:rPr>
          <w:rStyle w:val="Hyperlink"/>
          <w:color w:val="auto"/>
          <w:sz w:val="23"/>
          <w:szCs w:val="23"/>
          <w:u w:val="none"/>
        </w:rPr>
        <w:t xml:space="preserve"> JRNL</w:t>
      </w:r>
      <w:r>
        <w:rPr>
          <w:rStyle w:val="Hyperlink"/>
          <w:color w:val="auto"/>
          <w:sz w:val="23"/>
          <w:szCs w:val="23"/>
          <w:u w:val="none"/>
        </w:rPr>
        <w:t xml:space="preserve"> database</w:t>
      </w:r>
      <w:r w:rsidR="000B0440" w:rsidRPr="00216119">
        <w:rPr>
          <w:rStyle w:val="Hyperlink"/>
          <w:color w:val="auto"/>
          <w:sz w:val="23"/>
          <w:szCs w:val="23"/>
          <w:u w:val="none"/>
        </w:rPr>
        <w:t xml:space="preserve">, </w:t>
      </w:r>
      <w:r w:rsidRPr="00E55D5E">
        <w:rPr>
          <w:rStyle w:val="Hyperlink"/>
          <w:color w:val="auto"/>
          <w:sz w:val="23"/>
          <w:szCs w:val="23"/>
          <w:u w:val="none"/>
        </w:rPr>
        <w:t xml:space="preserve">including </w:t>
      </w:r>
      <w:r w:rsidR="00E55D5E" w:rsidRPr="00E55D5E">
        <w:rPr>
          <w:rStyle w:val="Hyperlink"/>
          <w:color w:val="auto"/>
          <w:sz w:val="23"/>
          <w:szCs w:val="23"/>
          <w:u w:val="none"/>
        </w:rPr>
        <w:t xml:space="preserve">60 </w:t>
      </w:r>
      <w:r w:rsidR="00E55D5E">
        <w:rPr>
          <w:rStyle w:val="Hyperlink"/>
          <w:color w:val="auto"/>
          <w:sz w:val="23"/>
          <w:szCs w:val="23"/>
          <w:u w:val="none"/>
        </w:rPr>
        <w:t>i</w:t>
      </w:r>
      <w:r w:rsidR="00E55D5E" w:rsidRPr="00E55D5E">
        <w:rPr>
          <w:rStyle w:val="Hyperlink"/>
          <w:color w:val="auto"/>
          <w:sz w:val="23"/>
          <w:szCs w:val="23"/>
          <w:u w:val="none"/>
        </w:rPr>
        <w:t xml:space="preserve">nstitutions </w:t>
      </w:r>
      <w:r w:rsidR="00E55D5E">
        <w:rPr>
          <w:rStyle w:val="Hyperlink"/>
          <w:color w:val="auto"/>
          <w:sz w:val="23"/>
          <w:szCs w:val="23"/>
          <w:u w:val="none"/>
        </w:rPr>
        <w:t xml:space="preserve">with </w:t>
      </w:r>
      <w:r w:rsidR="00E55D5E" w:rsidRPr="00E55D5E">
        <w:rPr>
          <w:rStyle w:val="Hyperlink"/>
          <w:color w:val="auto"/>
          <w:sz w:val="23"/>
          <w:szCs w:val="23"/>
          <w:u w:val="none"/>
        </w:rPr>
        <w:t xml:space="preserve">72 </w:t>
      </w:r>
      <w:r w:rsidR="00E55D5E">
        <w:rPr>
          <w:rStyle w:val="Hyperlink"/>
          <w:color w:val="auto"/>
          <w:sz w:val="23"/>
          <w:szCs w:val="23"/>
          <w:u w:val="none"/>
        </w:rPr>
        <w:t>l</w:t>
      </w:r>
      <w:r w:rsidR="00E55D5E" w:rsidRPr="00E55D5E">
        <w:rPr>
          <w:rStyle w:val="Hyperlink"/>
          <w:color w:val="auto"/>
          <w:sz w:val="23"/>
          <w:szCs w:val="23"/>
          <w:u w:val="none"/>
        </w:rPr>
        <w:t>ocations</w:t>
      </w:r>
      <w:r w:rsidR="00E55D5E">
        <w:rPr>
          <w:rStyle w:val="Hyperlink"/>
          <w:color w:val="auto"/>
          <w:sz w:val="23"/>
          <w:szCs w:val="23"/>
          <w:u w:val="none"/>
        </w:rPr>
        <w:t>.</w:t>
      </w:r>
    </w:p>
    <w:p w:rsidR="00BF25CD" w:rsidRDefault="00BF25CD" w:rsidP="00BF25CD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>Ten participating WEST libraries have loaded approximately 6,200 records to JRNL, comprising 20% of the JRNL holding</w:t>
      </w:r>
      <w:r w:rsidR="00B941B4">
        <w:rPr>
          <w:rStyle w:val="Hyperlink"/>
          <w:color w:val="auto"/>
          <w:sz w:val="23"/>
          <w:szCs w:val="23"/>
          <w:u w:val="none"/>
        </w:rPr>
        <w:t xml:space="preserve">s records. </w:t>
      </w:r>
    </w:p>
    <w:p w:rsidR="00B941B4" w:rsidRPr="00BF25CD" w:rsidRDefault="00B941B4" w:rsidP="00B941B4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 w:rsidRPr="00BF25CD">
        <w:rPr>
          <w:rStyle w:val="st1"/>
          <w:rFonts w:cs="Arial"/>
          <w:sz w:val="23"/>
          <w:szCs w:val="23"/>
        </w:rPr>
        <w:lastRenderedPageBreak/>
        <w:t>WRLC</w:t>
      </w:r>
      <w:r w:rsidRPr="00BF25CD">
        <w:rPr>
          <w:rStyle w:val="Hyperlink"/>
          <w:color w:val="auto"/>
          <w:sz w:val="23"/>
          <w:szCs w:val="23"/>
          <w:u w:val="none"/>
        </w:rPr>
        <w:t xml:space="preserve"> has imported approximately 4,925 holdings records into the JRNL database</w:t>
      </w:r>
      <w:r>
        <w:rPr>
          <w:rStyle w:val="Hyperlink"/>
          <w:color w:val="auto"/>
          <w:sz w:val="23"/>
          <w:szCs w:val="23"/>
          <w:u w:val="none"/>
        </w:rPr>
        <w:t xml:space="preserve"> </w:t>
      </w:r>
      <w:r w:rsidRPr="00BF25CD">
        <w:rPr>
          <w:rStyle w:val="Hyperlink"/>
          <w:color w:val="auto"/>
          <w:sz w:val="23"/>
          <w:szCs w:val="23"/>
          <w:u w:val="none"/>
        </w:rPr>
        <w:t xml:space="preserve">with plans for an additional load this spring. </w:t>
      </w:r>
      <w:r w:rsidR="00E55D5E">
        <w:rPr>
          <w:rStyle w:val="Hyperlink"/>
          <w:color w:val="auto"/>
          <w:sz w:val="23"/>
          <w:szCs w:val="23"/>
          <w:u w:val="none"/>
        </w:rPr>
        <w:t>Their holdings comprise approximately 16% of JRNL records.</w:t>
      </w:r>
    </w:p>
    <w:p w:rsidR="004F68FE" w:rsidRPr="00BF25CD" w:rsidRDefault="00E87CC5" w:rsidP="00BF25CD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 w:rsidRPr="00BF25CD">
        <w:rPr>
          <w:rStyle w:val="Hyperlink"/>
          <w:color w:val="auto"/>
          <w:sz w:val="23"/>
          <w:szCs w:val="23"/>
          <w:u w:val="none"/>
        </w:rPr>
        <w:t xml:space="preserve">JRNL contains </w:t>
      </w:r>
      <w:r w:rsidR="00822573" w:rsidRPr="00BF25CD">
        <w:rPr>
          <w:rStyle w:val="Hyperlink"/>
          <w:color w:val="auto"/>
          <w:sz w:val="23"/>
          <w:szCs w:val="23"/>
          <w:u w:val="none"/>
        </w:rPr>
        <w:t xml:space="preserve">29,575 holdings records, of which </w:t>
      </w:r>
      <w:r w:rsidR="004A5CEC" w:rsidRPr="00BF25CD">
        <w:rPr>
          <w:rStyle w:val="Hyperlink"/>
          <w:color w:val="auto"/>
          <w:sz w:val="23"/>
          <w:szCs w:val="23"/>
          <w:u w:val="none"/>
        </w:rPr>
        <w:t>21,033</w:t>
      </w:r>
      <w:r w:rsidR="00822573" w:rsidRPr="00BF25CD">
        <w:rPr>
          <w:rStyle w:val="Hyperlink"/>
          <w:color w:val="auto"/>
          <w:sz w:val="23"/>
          <w:szCs w:val="23"/>
          <w:u w:val="none"/>
        </w:rPr>
        <w:t xml:space="preserve"> are </w:t>
      </w:r>
      <w:r w:rsidR="00C35426" w:rsidRPr="00BF25CD">
        <w:rPr>
          <w:rStyle w:val="Hyperlink"/>
          <w:color w:val="auto"/>
          <w:sz w:val="23"/>
          <w:szCs w:val="23"/>
          <w:u w:val="none"/>
        </w:rPr>
        <w:t xml:space="preserve">unique ISSNs/Titles. </w:t>
      </w:r>
      <w:r w:rsidR="00822573" w:rsidRPr="00BF25CD">
        <w:rPr>
          <w:rStyle w:val="Hyperlink"/>
          <w:color w:val="auto"/>
          <w:sz w:val="23"/>
          <w:szCs w:val="23"/>
          <w:u w:val="none"/>
        </w:rPr>
        <w:t xml:space="preserve"> 72% of JRNL</w:t>
      </w:r>
      <w:r w:rsidR="004963EF" w:rsidRPr="00BF25CD">
        <w:rPr>
          <w:rStyle w:val="Hyperlink"/>
          <w:color w:val="auto"/>
          <w:sz w:val="23"/>
          <w:szCs w:val="23"/>
          <w:u w:val="none"/>
        </w:rPr>
        <w:t xml:space="preserve"> </w:t>
      </w:r>
      <w:r w:rsidR="00822573" w:rsidRPr="00BF25CD">
        <w:rPr>
          <w:rStyle w:val="Hyperlink"/>
          <w:color w:val="auto"/>
          <w:sz w:val="23"/>
          <w:szCs w:val="23"/>
          <w:u w:val="none"/>
        </w:rPr>
        <w:t xml:space="preserve">records represent a single retention commitment, 20% have </w:t>
      </w:r>
      <w:r w:rsidR="00E42910" w:rsidRPr="00BF25CD">
        <w:rPr>
          <w:rStyle w:val="Hyperlink"/>
          <w:color w:val="auto"/>
          <w:sz w:val="23"/>
          <w:szCs w:val="23"/>
          <w:u w:val="none"/>
        </w:rPr>
        <w:t>a second commitment</w:t>
      </w:r>
      <w:r w:rsidR="00822573" w:rsidRPr="00BF25CD">
        <w:rPr>
          <w:rStyle w:val="Hyperlink"/>
          <w:color w:val="auto"/>
          <w:sz w:val="23"/>
          <w:szCs w:val="23"/>
          <w:u w:val="none"/>
        </w:rPr>
        <w:t xml:space="preserve">.  </w:t>
      </w:r>
      <w:r w:rsidR="000B0440" w:rsidRPr="00BF25CD">
        <w:rPr>
          <w:rStyle w:val="Hyperlink"/>
          <w:color w:val="auto"/>
          <w:sz w:val="23"/>
          <w:szCs w:val="23"/>
          <w:u w:val="none"/>
        </w:rPr>
        <w:t xml:space="preserve">Note </w:t>
      </w:r>
      <w:r w:rsidR="00B97573" w:rsidRPr="00BF25CD">
        <w:rPr>
          <w:rStyle w:val="Hyperlink"/>
          <w:color w:val="auto"/>
          <w:sz w:val="23"/>
          <w:szCs w:val="23"/>
          <w:u w:val="none"/>
        </w:rPr>
        <w:t>-</w:t>
      </w:r>
      <w:r w:rsidR="00886AB1" w:rsidRPr="00BF25CD">
        <w:rPr>
          <w:rStyle w:val="Hyperlink"/>
          <w:color w:val="auto"/>
          <w:sz w:val="23"/>
          <w:szCs w:val="23"/>
          <w:u w:val="none"/>
        </w:rPr>
        <w:t xml:space="preserve"> multiple commitments do not indicate redundancy in holdings, </w:t>
      </w:r>
      <w:r w:rsidR="00216119" w:rsidRPr="00BF25CD">
        <w:rPr>
          <w:rStyle w:val="Hyperlink"/>
          <w:color w:val="auto"/>
          <w:sz w:val="23"/>
          <w:szCs w:val="23"/>
          <w:u w:val="none"/>
        </w:rPr>
        <w:t xml:space="preserve">as </w:t>
      </w:r>
      <w:r w:rsidR="000B0440" w:rsidRPr="00BF25CD">
        <w:rPr>
          <w:rStyle w:val="Hyperlink"/>
          <w:color w:val="auto"/>
          <w:sz w:val="23"/>
          <w:szCs w:val="23"/>
          <w:u w:val="none"/>
        </w:rPr>
        <w:t>institutions</w:t>
      </w:r>
      <w:r w:rsidR="00B97573" w:rsidRPr="00BF25CD">
        <w:rPr>
          <w:rStyle w:val="Hyperlink"/>
          <w:color w:val="auto"/>
          <w:sz w:val="23"/>
          <w:szCs w:val="23"/>
          <w:u w:val="none"/>
        </w:rPr>
        <w:t xml:space="preserve"> may not retain the same dates/volumes, and gaps </w:t>
      </w:r>
      <w:r w:rsidR="00886AB1" w:rsidRPr="00BF25CD">
        <w:rPr>
          <w:rStyle w:val="Hyperlink"/>
          <w:color w:val="auto"/>
          <w:sz w:val="23"/>
          <w:szCs w:val="23"/>
          <w:u w:val="none"/>
        </w:rPr>
        <w:t>may be present</w:t>
      </w:r>
      <w:r w:rsidR="00B97573" w:rsidRPr="00BF25CD">
        <w:rPr>
          <w:rStyle w:val="Hyperlink"/>
          <w:color w:val="auto"/>
          <w:sz w:val="23"/>
          <w:szCs w:val="23"/>
          <w:u w:val="none"/>
        </w:rPr>
        <w:t>.</w:t>
      </w:r>
    </w:p>
    <w:p w:rsidR="004F68FE" w:rsidRPr="00216119" w:rsidRDefault="00CA61AD" w:rsidP="00216119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sz w:val="23"/>
          <w:szCs w:val="23"/>
        </w:rPr>
      </w:pPr>
      <w:r w:rsidRPr="00216119">
        <w:rPr>
          <w:rStyle w:val="Hyperlink"/>
          <w:b/>
          <w:color w:val="auto"/>
          <w:sz w:val="23"/>
          <w:szCs w:val="23"/>
          <w:u w:val="none"/>
        </w:rPr>
        <w:t xml:space="preserve">Software </w:t>
      </w:r>
      <w:r w:rsidR="004F68FE" w:rsidRPr="00216119">
        <w:rPr>
          <w:rStyle w:val="Hyperlink"/>
          <w:b/>
          <w:color w:val="auto"/>
          <w:sz w:val="23"/>
          <w:szCs w:val="23"/>
          <w:u w:val="none"/>
        </w:rPr>
        <w:t xml:space="preserve">Enhancements </w:t>
      </w:r>
      <w:r w:rsidR="004F68FE" w:rsidRPr="00216119">
        <w:rPr>
          <w:sz w:val="23"/>
          <w:szCs w:val="23"/>
        </w:rPr>
        <w:t>–</w:t>
      </w:r>
      <w:r w:rsidR="004963EF">
        <w:rPr>
          <w:sz w:val="23"/>
          <w:szCs w:val="23"/>
        </w:rPr>
        <w:t xml:space="preserve"> </w:t>
      </w:r>
      <w:r w:rsidR="00E42910">
        <w:rPr>
          <w:sz w:val="23"/>
          <w:szCs w:val="23"/>
        </w:rPr>
        <w:t>A</w:t>
      </w:r>
      <w:r w:rsidR="004F68FE" w:rsidRPr="00216119">
        <w:rPr>
          <w:sz w:val="23"/>
          <w:szCs w:val="23"/>
        </w:rPr>
        <w:t xml:space="preserve"> process to allow the OCLC number to serve as the identifying element in the absence of an ISSN</w:t>
      </w:r>
      <w:r w:rsidR="00E42910">
        <w:rPr>
          <w:sz w:val="23"/>
          <w:szCs w:val="23"/>
        </w:rPr>
        <w:t xml:space="preserve"> continues to be under review</w:t>
      </w:r>
      <w:r w:rsidR="004F68FE" w:rsidRPr="00216119">
        <w:rPr>
          <w:sz w:val="23"/>
          <w:szCs w:val="23"/>
        </w:rPr>
        <w:t xml:space="preserve">.  </w:t>
      </w:r>
      <w:r w:rsidR="00886AB1" w:rsidRPr="00216119">
        <w:rPr>
          <w:sz w:val="23"/>
          <w:szCs w:val="23"/>
        </w:rPr>
        <w:t xml:space="preserve">There are approximately 470 titles which remain to be loaded </w:t>
      </w:r>
      <w:r w:rsidR="00BF25CD">
        <w:rPr>
          <w:sz w:val="23"/>
          <w:szCs w:val="23"/>
        </w:rPr>
        <w:t>in</w:t>
      </w:r>
      <w:r w:rsidR="00886AB1" w:rsidRPr="00216119">
        <w:rPr>
          <w:sz w:val="23"/>
          <w:szCs w:val="23"/>
        </w:rPr>
        <w:t>to JRNL d</w:t>
      </w:r>
      <w:r w:rsidR="00216119">
        <w:rPr>
          <w:sz w:val="23"/>
          <w:szCs w:val="23"/>
        </w:rPr>
        <w:t>ue to the lack of an ISSN</w:t>
      </w:r>
      <w:r w:rsidR="00E42910">
        <w:rPr>
          <w:sz w:val="23"/>
          <w:szCs w:val="23"/>
        </w:rPr>
        <w:t xml:space="preserve">. </w:t>
      </w:r>
    </w:p>
    <w:p w:rsidR="00AE3AD0" w:rsidRPr="00216119" w:rsidRDefault="00FB3672" w:rsidP="0078774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3"/>
          <w:szCs w:val="23"/>
        </w:rPr>
      </w:pPr>
      <w:r w:rsidRPr="00216119">
        <w:rPr>
          <w:b/>
          <w:bCs/>
          <w:sz w:val="23"/>
          <w:szCs w:val="23"/>
        </w:rPr>
        <w:t xml:space="preserve">Data Integrity Pilot </w:t>
      </w:r>
      <w:r w:rsidRPr="00216119">
        <w:rPr>
          <w:sz w:val="23"/>
          <w:szCs w:val="23"/>
        </w:rPr>
        <w:t>–</w:t>
      </w:r>
      <w:r w:rsidR="00AE3AD0" w:rsidRPr="00216119">
        <w:rPr>
          <w:sz w:val="23"/>
          <w:szCs w:val="23"/>
        </w:rPr>
        <w:t xml:space="preserve"> Scholars Trust contributes JRNL records to </w:t>
      </w:r>
      <w:r w:rsidRPr="00216119">
        <w:rPr>
          <w:sz w:val="23"/>
          <w:szCs w:val="23"/>
        </w:rPr>
        <w:t>CRL’s PAPR</w:t>
      </w:r>
      <w:r w:rsidR="00E87CC5" w:rsidRPr="00216119">
        <w:rPr>
          <w:sz w:val="23"/>
          <w:szCs w:val="23"/>
        </w:rPr>
        <w:t xml:space="preserve"> database</w:t>
      </w:r>
      <w:r w:rsidRPr="00216119">
        <w:rPr>
          <w:sz w:val="23"/>
          <w:szCs w:val="23"/>
        </w:rPr>
        <w:t xml:space="preserve"> (Print Archive and Preservation Registry)</w:t>
      </w:r>
      <w:r w:rsidR="00AE3AD0" w:rsidRPr="00216119">
        <w:rPr>
          <w:sz w:val="23"/>
          <w:szCs w:val="23"/>
        </w:rPr>
        <w:t xml:space="preserve">.  </w:t>
      </w:r>
      <w:r w:rsidR="00CA61AD" w:rsidRPr="00216119">
        <w:rPr>
          <w:sz w:val="23"/>
          <w:szCs w:val="23"/>
        </w:rPr>
        <w:t>As part of the</w:t>
      </w:r>
      <w:r w:rsidR="00630159" w:rsidRPr="00216119">
        <w:rPr>
          <w:sz w:val="23"/>
          <w:szCs w:val="23"/>
        </w:rPr>
        <w:t xml:space="preserve"> ingest</w:t>
      </w:r>
      <w:r w:rsidR="00CA61AD" w:rsidRPr="00216119">
        <w:rPr>
          <w:sz w:val="23"/>
          <w:szCs w:val="23"/>
        </w:rPr>
        <w:t xml:space="preserve"> process, </w:t>
      </w:r>
      <w:r w:rsidR="00AE3AD0" w:rsidRPr="00216119">
        <w:rPr>
          <w:sz w:val="23"/>
          <w:szCs w:val="23"/>
        </w:rPr>
        <w:t>CRL</w:t>
      </w:r>
      <w:r w:rsidR="00BF25CD">
        <w:rPr>
          <w:sz w:val="23"/>
          <w:szCs w:val="23"/>
        </w:rPr>
        <w:t xml:space="preserve"> has</w:t>
      </w:r>
      <w:r w:rsidR="00AE3AD0" w:rsidRPr="00216119">
        <w:rPr>
          <w:sz w:val="23"/>
          <w:szCs w:val="23"/>
        </w:rPr>
        <w:t xml:space="preserve"> </w:t>
      </w:r>
      <w:r w:rsidR="00630159" w:rsidRPr="00216119">
        <w:rPr>
          <w:sz w:val="23"/>
          <w:szCs w:val="23"/>
        </w:rPr>
        <w:t xml:space="preserve">identified </w:t>
      </w:r>
      <w:r w:rsidR="00CA61AD" w:rsidRPr="00216119">
        <w:rPr>
          <w:sz w:val="23"/>
          <w:szCs w:val="23"/>
        </w:rPr>
        <w:t xml:space="preserve">records which </w:t>
      </w:r>
      <w:r w:rsidR="00630159" w:rsidRPr="00216119">
        <w:rPr>
          <w:sz w:val="23"/>
          <w:szCs w:val="23"/>
        </w:rPr>
        <w:t>may c</w:t>
      </w:r>
      <w:r w:rsidR="00CA61AD" w:rsidRPr="00216119">
        <w:rPr>
          <w:sz w:val="23"/>
          <w:szCs w:val="23"/>
        </w:rPr>
        <w:t>ontain</w:t>
      </w:r>
      <w:r w:rsidR="00AE3AD0" w:rsidRPr="00216119">
        <w:rPr>
          <w:sz w:val="23"/>
          <w:szCs w:val="23"/>
        </w:rPr>
        <w:t xml:space="preserve"> non</w:t>
      </w:r>
      <w:r w:rsidR="00CA61AD" w:rsidRPr="00216119">
        <w:rPr>
          <w:sz w:val="23"/>
          <w:szCs w:val="23"/>
        </w:rPr>
        <w:t>-standard</w:t>
      </w:r>
      <w:r w:rsidR="00AE3AD0" w:rsidRPr="00216119">
        <w:rPr>
          <w:sz w:val="23"/>
          <w:szCs w:val="23"/>
        </w:rPr>
        <w:t xml:space="preserve"> </w:t>
      </w:r>
      <w:r w:rsidR="00CA61AD" w:rsidRPr="00216119">
        <w:rPr>
          <w:sz w:val="23"/>
          <w:szCs w:val="23"/>
        </w:rPr>
        <w:t>data</w:t>
      </w:r>
      <w:r w:rsidR="00630159" w:rsidRPr="00216119">
        <w:rPr>
          <w:sz w:val="23"/>
          <w:szCs w:val="23"/>
        </w:rPr>
        <w:t xml:space="preserve"> elements</w:t>
      </w:r>
      <w:r w:rsidR="00CA61AD" w:rsidRPr="00216119">
        <w:rPr>
          <w:sz w:val="23"/>
          <w:szCs w:val="23"/>
        </w:rPr>
        <w:t xml:space="preserve">.  </w:t>
      </w:r>
      <w:r w:rsidR="00AE3AD0" w:rsidRPr="00216119">
        <w:rPr>
          <w:sz w:val="23"/>
          <w:szCs w:val="23"/>
        </w:rPr>
        <w:t xml:space="preserve">Scholars Trust libraries have </w:t>
      </w:r>
      <w:r w:rsidR="00CA61AD" w:rsidRPr="00216119">
        <w:rPr>
          <w:sz w:val="23"/>
          <w:szCs w:val="23"/>
        </w:rPr>
        <w:t>review</w:t>
      </w:r>
      <w:r w:rsidR="00BF25CD">
        <w:rPr>
          <w:sz w:val="23"/>
          <w:szCs w:val="23"/>
        </w:rPr>
        <w:t>ed</w:t>
      </w:r>
      <w:r w:rsidR="00CA61AD" w:rsidRPr="00216119">
        <w:rPr>
          <w:sz w:val="23"/>
          <w:szCs w:val="23"/>
        </w:rPr>
        <w:t xml:space="preserve"> </w:t>
      </w:r>
      <w:r w:rsidR="00E42910">
        <w:rPr>
          <w:sz w:val="23"/>
          <w:szCs w:val="23"/>
        </w:rPr>
        <w:t xml:space="preserve">of these records and made corrections </w:t>
      </w:r>
      <w:r w:rsidR="00CA61AD" w:rsidRPr="00216119">
        <w:rPr>
          <w:sz w:val="23"/>
          <w:szCs w:val="23"/>
        </w:rPr>
        <w:t>as necessary</w:t>
      </w:r>
      <w:r w:rsidR="00E42910">
        <w:rPr>
          <w:sz w:val="23"/>
          <w:szCs w:val="23"/>
        </w:rPr>
        <w:t>.</w:t>
      </w:r>
    </w:p>
    <w:p w:rsidR="00FB3672" w:rsidRPr="00216119" w:rsidRDefault="00AE3AD0" w:rsidP="0078774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b/>
          <w:sz w:val="23"/>
          <w:szCs w:val="23"/>
        </w:rPr>
      </w:pPr>
      <w:r w:rsidRPr="00216119">
        <w:rPr>
          <w:b/>
          <w:sz w:val="23"/>
          <w:szCs w:val="23"/>
        </w:rPr>
        <w:t>Local Holdings Records (LHRs</w:t>
      </w:r>
      <w:r w:rsidRPr="00216119">
        <w:rPr>
          <w:b/>
          <w:sz w:val="23"/>
          <w:szCs w:val="23"/>
          <w:u w:val="single"/>
        </w:rPr>
        <w:t>)</w:t>
      </w:r>
      <w:r w:rsidRPr="00216119">
        <w:rPr>
          <w:sz w:val="23"/>
          <w:szCs w:val="23"/>
        </w:rPr>
        <w:t xml:space="preserve"> –</w:t>
      </w:r>
      <w:r w:rsidR="00216119">
        <w:rPr>
          <w:sz w:val="23"/>
          <w:szCs w:val="23"/>
        </w:rPr>
        <w:t xml:space="preserve"> P</w:t>
      </w:r>
      <w:r w:rsidR="009D1789" w:rsidRPr="00216119">
        <w:rPr>
          <w:sz w:val="23"/>
          <w:szCs w:val="23"/>
        </w:rPr>
        <w:t xml:space="preserve">articipating institutions have committed to </w:t>
      </w:r>
      <w:r w:rsidR="00216119">
        <w:rPr>
          <w:sz w:val="23"/>
          <w:szCs w:val="23"/>
        </w:rPr>
        <w:t>create/</w:t>
      </w:r>
      <w:r w:rsidR="009D1789" w:rsidRPr="00216119">
        <w:rPr>
          <w:sz w:val="23"/>
          <w:szCs w:val="23"/>
        </w:rPr>
        <w:t xml:space="preserve">maintain LHRs in their local catalog for </w:t>
      </w:r>
      <w:r w:rsidR="00216119">
        <w:rPr>
          <w:sz w:val="23"/>
          <w:szCs w:val="23"/>
        </w:rPr>
        <w:t xml:space="preserve">all </w:t>
      </w:r>
      <w:r w:rsidR="009D1789" w:rsidRPr="00216119">
        <w:rPr>
          <w:sz w:val="23"/>
          <w:szCs w:val="23"/>
        </w:rPr>
        <w:t xml:space="preserve">retained titles by December 31, 2016.  To assist in meeting this goal, CRL </w:t>
      </w:r>
      <w:r w:rsidR="00E42910">
        <w:rPr>
          <w:sz w:val="23"/>
          <w:szCs w:val="23"/>
        </w:rPr>
        <w:t>provided</w:t>
      </w:r>
      <w:r w:rsidR="009D1789" w:rsidRPr="00216119">
        <w:rPr>
          <w:sz w:val="23"/>
          <w:szCs w:val="23"/>
        </w:rPr>
        <w:t xml:space="preserve"> LHRs from the records contributed from JRNL</w:t>
      </w:r>
      <w:r w:rsidR="00216119">
        <w:rPr>
          <w:sz w:val="23"/>
          <w:szCs w:val="23"/>
        </w:rPr>
        <w:t xml:space="preserve"> to PAPR</w:t>
      </w:r>
      <w:r w:rsidR="00BF25CD" w:rsidRPr="00BF25CD">
        <w:rPr>
          <w:sz w:val="23"/>
          <w:szCs w:val="23"/>
        </w:rPr>
        <w:t xml:space="preserve"> </w:t>
      </w:r>
      <w:r w:rsidR="00BF25CD">
        <w:rPr>
          <w:sz w:val="23"/>
          <w:szCs w:val="23"/>
        </w:rPr>
        <w:t>as part of the Data Integrity Pilot</w:t>
      </w:r>
      <w:r w:rsidR="004963EF">
        <w:rPr>
          <w:sz w:val="23"/>
          <w:szCs w:val="23"/>
        </w:rPr>
        <w:t>.  T</w:t>
      </w:r>
      <w:r w:rsidR="00E42910">
        <w:rPr>
          <w:sz w:val="23"/>
          <w:szCs w:val="23"/>
        </w:rPr>
        <w:t>he</w:t>
      </w:r>
      <w:r w:rsidR="004963EF">
        <w:rPr>
          <w:sz w:val="23"/>
          <w:szCs w:val="23"/>
        </w:rPr>
        <w:t>se</w:t>
      </w:r>
      <w:r w:rsidR="00E42910">
        <w:rPr>
          <w:sz w:val="23"/>
          <w:szCs w:val="23"/>
        </w:rPr>
        <w:t xml:space="preserve"> records were distributed to </w:t>
      </w:r>
      <w:r w:rsidR="009D1789" w:rsidRPr="00216119">
        <w:rPr>
          <w:sz w:val="23"/>
          <w:szCs w:val="23"/>
        </w:rPr>
        <w:t>Scholars Trust libraries</w:t>
      </w:r>
      <w:r w:rsidR="00E42910">
        <w:rPr>
          <w:sz w:val="23"/>
          <w:szCs w:val="23"/>
        </w:rPr>
        <w:t xml:space="preserve"> for their review</w:t>
      </w:r>
      <w:r w:rsidR="004963EF">
        <w:rPr>
          <w:sz w:val="23"/>
          <w:szCs w:val="23"/>
        </w:rPr>
        <w:t xml:space="preserve"> and use</w:t>
      </w:r>
      <w:r w:rsidR="009D1789" w:rsidRPr="00216119">
        <w:rPr>
          <w:sz w:val="23"/>
          <w:szCs w:val="23"/>
        </w:rPr>
        <w:t>.</w:t>
      </w:r>
    </w:p>
    <w:p w:rsidR="0044334B" w:rsidRPr="001E29E2" w:rsidRDefault="00A11518" w:rsidP="00722CB5">
      <w:pPr>
        <w:pStyle w:val="ListParagraph"/>
        <w:numPr>
          <w:ilvl w:val="0"/>
          <w:numId w:val="7"/>
        </w:numPr>
        <w:spacing w:after="0" w:line="240" w:lineRule="auto"/>
        <w:rPr>
          <w:b/>
          <w:sz w:val="23"/>
          <w:szCs w:val="23"/>
        </w:rPr>
      </w:pPr>
      <w:r w:rsidRPr="00216119">
        <w:rPr>
          <w:b/>
          <w:sz w:val="23"/>
          <w:szCs w:val="23"/>
        </w:rPr>
        <w:t xml:space="preserve">A </w:t>
      </w:r>
      <w:r w:rsidRPr="00216119">
        <w:rPr>
          <w:b/>
          <w:bCs/>
          <w:sz w:val="23"/>
          <w:szCs w:val="23"/>
        </w:rPr>
        <w:t xml:space="preserve">publicly-accessible list </w:t>
      </w:r>
      <w:r w:rsidRPr="00216119">
        <w:rPr>
          <w:b/>
          <w:sz w:val="23"/>
          <w:szCs w:val="23"/>
        </w:rPr>
        <w:t xml:space="preserve">of </w:t>
      </w:r>
      <w:r w:rsidR="00BF25CD">
        <w:rPr>
          <w:b/>
          <w:sz w:val="23"/>
          <w:szCs w:val="23"/>
        </w:rPr>
        <w:t xml:space="preserve">the </w:t>
      </w:r>
      <w:r w:rsidRPr="00216119">
        <w:rPr>
          <w:b/>
          <w:sz w:val="23"/>
          <w:szCs w:val="23"/>
        </w:rPr>
        <w:t>titles</w:t>
      </w:r>
      <w:r w:rsidRPr="00216119">
        <w:rPr>
          <w:sz w:val="23"/>
          <w:szCs w:val="23"/>
        </w:rPr>
        <w:t xml:space="preserve"> </w:t>
      </w:r>
      <w:r w:rsidRPr="00BF25CD">
        <w:rPr>
          <w:b/>
          <w:sz w:val="23"/>
          <w:szCs w:val="23"/>
        </w:rPr>
        <w:t>retained under this agreement</w:t>
      </w:r>
      <w:r w:rsidRPr="00216119">
        <w:rPr>
          <w:sz w:val="23"/>
          <w:szCs w:val="23"/>
        </w:rPr>
        <w:t xml:space="preserve"> is maintained on the </w:t>
      </w:r>
      <w:r w:rsidR="001E29E2">
        <w:rPr>
          <w:sz w:val="23"/>
          <w:szCs w:val="23"/>
        </w:rPr>
        <w:t>program</w:t>
      </w:r>
      <w:r w:rsidRPr="00216119">
        <w:rPr>
          <w:sz w:val="23"/>
          <w:szCs w:val="23"/>
        </w:rPr>
        <w:t xml:space="preserve"> website so others can </w:t>
      </w:r>
      <w:r w:rsidR="00331ADB" w:rsidRPr="00216119">
        <w:rPr>
          <w:sz w:val="23"/>
          <w:szCs w:val="23"/>
        </w:rPr>
        <w:t xml:space="preserve">easily access the information. </w:t>
      </w:r>
      <w:hyperlink r:id="rId13" w:history="1">
        <w:r w:rsidR="001E29E2" w:rsidRPr="008C5BFC">
          <w:rPr>
            <w:rStyle w:val="Hyperlink"/>
            <w:sz w:val="23"/>
            <w:szCs w:val="23"/>
          </w:rPr>
          <w:t>www.scholarstrust.org</w:t>
        </w:r>
      </w:hyperlink>
    </w:p>
    <w:p w:rsidR="00227818" w:rsidRPr="00216119" w:rsidRDefault="00227818" w:rsidP="00227818">
      <w:pPr>
        <w:spacing w:after="0" w:line="240" w:lineRule="auto"/>
        <w:rPr>
          <w:sz w:val="23"/>
          <w:szCs w:val="23"/>
        </w:rPr>
      </w:pPr>
    </w:p>
    <w:p w:rsidR="00364D44" w:rsidRPr="00216119" w:rsidRDefault="00364D44" w:rsidP="00227818">
      <w:pPr>
        <w:spacing w:after="0" w:line="240" w:lineRule="auto"/>
        <w:rPr>
          <w:sz w:val="23"/>
          <w:szCs w:val="23"/>
        </w:rPr>
        <w:sectPr w:rsidR="00364D44" w:rsidRPr="00216119" w:rsidSect="0063015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227818" w:rsidRPr="001E29E2" w:rsidRDefault="00227818" w:rsidP="00227818">
      <w:pPr>
        <w:spacing w:after="0" w:line="240" w:lineRule="auto"/>
        <w:rPr>
          <w:b/>
          <w:sz w:val="23"/>
          <w:szCs w:val="23"/>
        </w:rPr>
      </w:pPr>
      <w:r w:rsidRPr="001E29E2">
        <w:rPr>
          <w:b/>
          <w:sz w:val="23"/>
          <w:szCs w:val="23"/>
        </w:rPr>
        <w:lastRenderedPageBreak/>
        <w:t>ASERL Contact:</w:t>
      </w:r>
    </w:p>
    <w:p w:rsidR="00227818" w:rsidRPr="00216119" w:rsidRDefault="00364D44" w:rsidP="00227818">
      <w:p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Cheryle Cole-Bennett</w:t>
      </w:r>
      <w:r w:rsidR="00E87CC5" w:rsidRPr="00216119">
        <w:rPr>
          <w:sz w:val="23"/>
          <w:szCs w:val="23"/>
        </w:rPr>
        <w:t xml:space="preserve">, </w:t>
      </w:r>
      <w:r w:rsidR="00227818" w:rsidRPr="00216119">
        <w:rPr>
          <w:sz w:val="23"/>
          <w:szCs w:val="23"/>
        </w:rPr>
        <w:t>Program Coordinator</w:t>
      </w:r>
    </w:p>
    <w:p w:rsidR="00227818" w:rsidRPr="00216119" w:rsidRDefault="00227818" w:rsidP="00227818">
      <w:pPr>
        <w:spacing w:after="0" w:line="240" w:lineRule="auto"/>
        <w:rPr>
          <w:sz w:val="23"/>
          <w:szCs w:val="23"/>
        </w:rPr>
      </w:pPr>
      <w:r w:rsidRPr="00216119">
        <w:rPr>
          <w:b/>
          <w:bCs/>
          <w:sz w:val="23"/>
          <w:szCs w:val="23"/>
        </w:rPr>
        <w:t>Association of Southeastern Research Libraries</w:t>
      </w:r>
      <w:r w:rsidRPr="00216119">
        <w:rPr>
          <w:sz w:val="23"/>
          <w:szCs w:val="23"/>
        </w:rPr>
        <w:t xml:space="preserve"> </w:t>
      </w:r>
    </w:p>
    <w:p w:rsidR="00227818" w:rsidRPr="00216119" w:rsidRDefault="00227818" w:rsidP="00227818">
      <w:p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 xml:space="preserve">Telephone: </w:t>
      </w:r>
      <w:r w:rsidR="00E87CC5" w:rsidRPr="00216119">
        <w:rPr>
          <w:sz w:val="23"/>
          <w:szCs w:val="23"/>
        </w:rPr>
        <w:t xml:space="preserve"> 470-222-4960</w:t>
      </w:r>
    </w:p>
    <w:p w:rsidR="001E29E2" w:rsidRDefault="000F1406" w:rsidP="00227818">
      <w:pPr>
        <w:spacing w:after="0" w:line="240" w:lineRule="auto"/>
      </w:pPr>
      <w:hyperlink r:id="rId14" w:history="1">
        <w:r w:rsidR="001E29E2" w:rsidRPr="008C5BFC">
          <w:rPr>
            <w:rStyle w:val="Hyperlink"/>
          </w:rPr>
          <w:t>Ccole-bennett@aserl.org</w:t>
        </w:r>
      </w:hyperlink>
    </w:p>
    <w:p w:rsidR="001E29E2" w:rsidRDefault="001E29E2" w:rsidP="00227818">
      <w:pPr>
        <w:spacing w:after="0" w:line="240" w:lineRule="auto"/>
      </w:pPr>
    </w:p>
    <w:p w:rsidR="00227818" w:rsidRPr="001E29E2" w:rsidRDefault="004147B0" w:rsidP="00227818">
      <w:pPr>
        <w:spacing w:after="0" w:line="240" w:lineRule="auto"/>
        <w:rPr>
          <w:b/>
          <w:sz w:val="23"/>
          <w:szCs w:val="23"/>
        </w:rPr>
      </w:pPr>
      <w:r w:rsidRPr="00216119">
        <w:rPr>
          <w:rStyle w:val="Hyperlink"/>
          <w:color w:val="auto"/>
          <w:sz w:val="23"/>
          <w:szCs w:val="23"/>
        </w:rPr>
        <w:br w:type="column"/>
      </w:r>
      <w:r w:rsidR="00227818" w:rsidRPr="001E29E2">
        <w:rPr>
          <w:b/>
          <w:sz w:val="23"/>
          <w:szCs w:val="23"/>
        </w:rPr>
        <w:lastRenderedPageBreak/>
        <w:t>WRLC Contact:</w:t>
      </w:r>
    </w:p>
    <w:p w:rsidR="00227818" w:rsidRPr="00216119" w:rsidRDefault="00227818" w:rsidP="00227818">
      <w:pPr>
        <w:spacing w:after="0" w:line="240" w:lineRule="auto"/>
        <w:rPr>
          <w:sz w:val="23"/>
          <w:szCs w:val="23"/>
        </w:rPr>
      </w:pPr>
      <w:r w:rsidRPr="00216119">
        <w:rPr>
          <w:sz w:val="23"/>
          <w:szCs w:val="23"/>
        </w:rPr>
        <w:t>Bruce Hulse</w:t>
      </w:r>
      <w:r w:rsidR="00E87CC5" w:rsidRPr="00216119">
        <w:rPr>
          <w:sz w:val="23"/>
          <w:szCs w:val="23"/>
        </w:rPr>
        <w:t xml:space="preserve">, </w:t>
      </w:r>
      <w:r w:rsidRPr="00216119">
        <w:rPr>
          <w:sz w:val="23"/>
          <w:szCs w:val="23"/>
        </w:rPr>
        <w:t>Director of Information Services</w:t>
      </w:r>
      <w:r w:rsidRPr="00216119">
        <w:rPr>
          <w:sz w:val="23"/>
          <w:szCs w:val="23"/>
        </w:rPr>
        <w:br/>
      </w:r>
      <w:r w:rsidRPr="00216119">
        <w:rPr>
          <w:b/>
          <w:sz w:val="23"/>
          <w:szCs w:val="23"/>
        </w:rPr>
        <w:t>Washington Research Library Consortium</w:t>
      </w:r>
      <w:r w:rsidRPr="00216119">
        <w:rPr>
          <w:sz w:val="23"/>
          <w:szCs w:val="23"/>
        </w:rPr>
        <w:br/>
        <w:t>301-390-2033</w:t>
      </w:r>
      <w:r w:rsidRPr="00216119">
        <w:rPr>
          <w:sz w:val="23"/>
          <w:szCs w:val="23"/>
        </w:rPr>
        <w:br/>
      </w:r>
      <w:hyperlink r:id="rId15" w:tgtFrame="_blank" w:history="1">
        <w:r w:rsidRPr="00216119">
          <w:rPr>
            <w:rStyle w:val="Hyperlink"/>
            <w:sz w:val="23"/>
            <w:szCs w:val="23"/>
          </w:rPr>
          <w:t>hulse@wrlc.org</w:t>
        </w:r>
      </w:hyperlink>
    </w:p>
    <w:sectPr w:rsidR="00227818" w:rsidRPr="00216119" w:rsidSect="00630159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98" w:rsidRDefault="00D83798" w:rsidP="008A714E">
      <w:pPr>
        <w:spacing w:after="0" w:line="240" w:lineRule="auto"/>
      </w:pPr>
      <w:r>
        <w:separator/>
      </w:r>
    </w:p>
  </w:endnote>
  <w:endnote w:type="continuationSeparator" w:id="0">
    <w:p w:rsidR="00D83798" w:rsidRDefault="00D83798" w:rsidP="008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98" w:rsidRDefault="00D83798" w:rsidP="008A714E">
      <w:pPr>
        <w:spacing w:after="0" w:line="240" w:lineRule="auto"/>
      </w:pPr>
      <w:r>
        <w:separator/>
      </w:r>
    </w:p>
  </w:footnote>
  <w:footnote w:type="continuationSeparator" w:id="0">
    <w:p w:rsidR="00D83798" w:rsidRDefault="00D83798" w:rsidP="008A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A3"/>
    <w:multiLevelType w:val="hybridMultilevel"/>
    <w:tmpl w:val="ED26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8513A"/>
    <w:multiLevelType w:val="hybridMultilevel"/>
    <w:tmpl w:val="D124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4DF"/>
    <w:multiLevelType w:val="hybridMultilevel"/>
    <w:tmpl w:val="386AC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62F6F"/>
    <w:multiLevelType w:val="hybridMultilevel"/>
    <w:tmpl w:val="FB62878A"/>
    <w:lvl w:ilvl="0" w:tplc="4FB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C2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2C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60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E1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6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CB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261F66"/>
    <w:multiLevelType w:val="hybridMultilevel"/>
    <w:tmpl w:val="6E22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C0780"/>
    <w:multiLevelType w:val="hybridMultilevel"/>
    <w:tmpl w:val="E1842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71C06"/>
    <w:multiLevelType w:val="hybridMultilevel"/>
    <w:tmpl w:val="B7D8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179D5"/>
    <w:multiLevelType w:val="hybridMultilevel"/>
    <w:tmpl w:val="8B4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25F87"/>
    <w:multiLevelType w:val="hybridMultilevel"/>
    <w:tmpl w:val="21FC0E44"/>
    <w:lvl w:ilvl="0" w:tplc="8398F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4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2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D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2B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0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A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E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E7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5075DD"/>
    <w:multiLevelType w:val="hybridMultilevel"/>
    <w:tmpl w:val="DDA46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20580"/>
    <w:multiLevelType w:val="hybridMultilevel"/>
    <w:tmpl w:val="4E3A6698"/>
    <w:lvl w:ilvl="0" w:tplc="6B9A60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121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3AE0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6A64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FA33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290E9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36C5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A688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0E7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EA60C0C"/>
    <w:multiLevelType w:val="hybridMultilevel"/>
    <w:tmpl w:val="A9500B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063D3B"/>
    <w:multiLevelType w:val="hybridMultilevel"/>
    <w:tmpl w:val="F29E3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475AE"/>
    <w:multiLevelType w:val="hybridMultilevel"/>
    <w:tmpl w:val="D4D6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0"/>
    <w:rsid w:val="00057CCC"/>
    <w:rsid w:val="00057DC0"/>
    <w:rsid w:val="00094860"/>
    <w:rsid w:val="000B0440"/>
    <w:rsid w:val="000F1406"/>
    <w:rsid w:val="001101A9"/>
    <w:rsid w:val="00120F18"/>
    <w:rsid w:val="00167BD1"/>
    <w:rsid w:val="00193BD6"/>
    <w:rsid w:val="001B05DE"/>
    <w:rsid w:val="001E29E2"/>
    <w:rsid w:val="001F50F3"/>
    <w:rsid w:val="00210193"/>
    <w:rsid w:val="00216119"/>
    <w:rsid w:val="00227818"/>
    <w:rsid w:val="002414EB"/>
    <w:rsid w:val="002534CE"/>
    <w:rsid w:val="002C2339"/>
    <w:rsid w:val="002C3C4F"/>
    <w:rsid w:val="002E6FA7"/>
    <w:rsid w:val="002F03EF"/>
    <w:rsid w:val="00331ADB"/>
    <w:rsid w:val="00364D44"/>
    <w:rsid w:val="0038223B"/>
    <w:rsid w:val="003E0BEC"/>
    <w:rsid w:val="003E24E4"/>
    <w:rsid w:val="00401B01"/>
    <w:rsid w:val="00411341"/>
    <w:rsid w:val="004147B0"/>
    <w:rsid w:val="004236BC"/>
    <w:rsid w:val="0044334B"/>
    <w:rsid w:val="004468F0"/>
    <w:rsid w:val="004630A5"/>
    <w:rsid w:val="004963EF"/>
    <w:rsid w:val="004A5CEC"/>
    <w:rsid w:val="004B5801"/>
    <w:rsid w:val="004D590A"/>
    <w:rsid w:val="004D6469"/>
    <w:rsid w:val="004F68FE"/>
    <w:rsid w:val="00504850"/>
    <w:rsid w:val="00536264"/>
    <w:rsid w:val="00544AD1"/>
    <w:rsid w:val="00581FEE"/>
    <w:rsid w:val="005A02E9"/>
    <w:rsid w:val="00630159"/>
    <w:rsid w:val="006641F6"/>
    <w:rsid w:val="0068637F"/>
    <w:rsid w:val="006B1AA2"/>
    <w:rsid w:val="006C16F6"/>
    <w:rsid w:val="006D4768"/>
    <w:rsid w:val="00722CB5"/>
    <w:rsid w:val="0076094F"/>
    <w:rsid w:val="00787740"/>
    <w:rsid w:val="007A69A5"/>
    <w:rsid w:val="007C531F"/>
    <w:rsid w:val="007F4A4B"/>
    <w:rsid w:val="008220F2"/>
    <w:rsid w:val="00822573"/>
    <w:rsid w:val="0082574E"/>
    <w:rsid w:val="00857852"/>
    <w:rsid w:val="00874D28"/>
    <w:rsid w:val="00886AB1"/>
    <w:rsid w:val="008A714E"/>
    <w:rsid w:val="008E0E58"/>
    <w:rsid w:val="008F465A"/>
    <w:rsid w:val="009238AB"/>
    <w:rsid w:val="0094767D"/>
    <w:rsid w:val="00965DA7"/>
    <w:rsid w:val="00992F1A"/>
    <w:rsid w:val="009D1789"/>
    <w:rsid w:val="009E1AEB"/>
    <w:rsid w:val="00A11518"/>
    <w:rsid w:val="00A33F33"/>
    <w:rsid w:val="00A61A66"/>
    <w:rsid w:val="00A75680"/>
    <w:rsid w:val="00A76C47"/>
    <w:rsid w:val="00A9258C"/>
    <w:rsid w:val="00A93DAD"/>
    <w:rsid w:val="00AA6721"/>
    <w:rsid w:val="00AA7520"/>
    <w:rsid w:val="00AB199C"/>
    <w:rsid w:val="00AE3AD0"/>
    <w:rsid w:val="00B231A4"/>
    <w:rsid w:val="00B941B4"/>
    <w:rsid w:val="00B97573"/>
    <w:rsid w:val="00BC3533"/>
    <w:rsid w:val="00BF25CD"/>
    <w:rsid w:val="00BF6EA4"/>
    <w:rsid w:val="00C35426"/>
    <w:rsid w:val="00C93584"/>
    <w:rsid w:val="00CA61AD"/>
    <w:rsid w:val="00CF6331"/>
    <w:rsid w:val="00CF6DE0"/>
    <w:rsid w:val="00D21E60"/>
    <w:rsid w:val="00D80962"/>
    <w:rsid w:val="00D83798"/>
    <w:rsid w:val="00DA3DA3"/>
    <w:rsid w:val="00DC70E0"/>
    <w:rsid w:val="00E42910"/>
    <w:rsid w:val="00E55D5E"/>
    <w:rsid w:val="00E87CC5"/>
    <w:rsid w:val="00EE1397"/>
    <w:rsid w:val="00F26478"/>
    <w:rsid w:val="00F30906"/>
    <w:rsid w:val="00F77AE8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7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93D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A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0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30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4E"/>
  </w:style>
  <w:style w:type="paragraph" w:styleId="Footer">
    <w:name w:val="footer"/>
    <w:basedOn w:val="Normal"/>
    <w:link w:val="FooterChar"/>
    <w:uiPriority w:val="99"/>
    <w:unhideWhenUsed/>
    <w:rsid w:val="008A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4E"/>
  </w:style>
  <w:style w:type="character" w:styleId="Emphasis">
    <w:name w:val="Emphasis"/>
    <w:basedOn w:val="DefaultParagraphFont"/>
    <w:uiPriority w:val="20"/>
    <w:qFormat/>
    <w:rsid w:val="00057CCC"/>
    <w:rPr>
      <w:b/>
      <w:bCs/>
      <w:i w:val="0"/>
      <w:iCs w:val="0"/>
    </w:rPr>
  </w:style>
  <w:style w:type="character" w:customStyle="1" w:styleId="st1">
    <w:name w:val="st1"/>
    <w:basedOn w:val="DefaultParagraphFont"/>
    <w:rsid w:val="00057CCC"/>
  </w:style>
  <w:style w:type="paragraph" w:customStyle="1" w:styleId="Default">
    <w:name w:val="Default"/>
    <w:rsid w:val="006C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7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93D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A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0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30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4E"/>
  </w:style>
  <w:style w:type="paragraph" w:styleId="Footer">
    <w:name w:val="footer"/>
    <w:basedOn w:val="Normal"/>
    <w:link w:val="FooterChar"/>
    <w:uiPriority w:val="99"/>
    <w:unhideWhenUsed/>
    <w:rsid w:val="008A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4E"/>
  </w:style>
  <w:style w:type="character" w:styleId="Emphasis">
    <w:name w:val="Emphasis"/>
    <w:basedOn w:val="DefaultParagraphFont"/>
    <w:uiPriority w:val="20"/>
    <w:qFormat/>
    <w:rsid w:val="00057CCC"/>
    <w:rPr>
      <w:b/>
      <w:bCs/>
      <w:i w:val="0"/>
      <w:iCs w:val="0"/>
    </w:rPr>
  </w:style>
  <w:style w:type="character" w:customStyle="1" w:styleId="st1">
    <w:name w:val="st1"/>
    <w:basedOn w:val="DefaultParagraphFont"/>
    <w:rsid w:val="00057CCC"/>
  </w:style>
  <w:style w:type="paragraph" w:customStyle="1" w:styleId="Default">
    <w:name w:val="Default"/>
    <w:rsid w:val="006C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larstrus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erl.org/wp-content/uploads/2015/12/Scholars_Trust_Governance_Agreement_2015_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larstru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lse@wrlc.org" TargetMode="External"/><Relationship Id="rId10" Type="http://schemas.openxmlformats.org/officeDocument/2006/relationships/hyperlink" Target="http://www.wrl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rl.org/" TargetMode="External"/><Relationship Id="rId14" Type="http://schemas.openxmlformats.org/officeDocument/2006/relationships/hyperlink" Target="mailto:Ccole-bennett@ase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Cheryle Cole-Bennett</dc:creator>
  <cp:lastModifiedBy>Cheryle Cole-Bennett</cp:lastModifiedBy>
  <cp:revision>2</cp:revision>
  <cp:lastPrinted>2015-06-18T18:01:00Z</cp:lastPrinted>
  <dcterms:created xsi:type="dcterms:W3CDTF">2016-01-06T15:02:00Z</dcterms:created>
  <dcterms:modified xsi:type="dcterms:W3CDTF">2016-01-06T15:02:00Z</dcterms:modified>
</cp:coreProperties>
</file>